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9392A" w14:textId="77777777" w:rsidR="004927F2" w:rsidRPr="004927F2" w:rsidRDefault="004927F2" w:rsidP="001B3E60">
      <w:pPr>
        <w:jc w:val="both"/>
        <w:rPr>
          <w:rFonts w:asciiTheme="minorHAnsi" w:hAnsiTheme="minorHAnsi" w:cstheme="minorHAnsi"/>
        </w:rPr>
      </w:pPr>
    </w:p>
    <w:p w14:paraId="0E033932" w14:textId="25E43B72" w:rsidR="002F05D8" w:rsidRDefault="001B3E60" w:rsidP="001B3E60">
      <w:pPr>
        <w:jc w:val="both"/>
        <w:rPr>
          <w:rFonts w:asciiTheme="minorHAnsi" w:hAnsiTheme="minorHAnsi" w:cstheme="minorHAnsi"/>
          <w:b/>
          <w:sz w:val="28"/>
          <w:szCs w:val="28"/>
        </w:rPr>
      </w:pPr>
      <w:r>
        <w:rPr>
          <w:rFonts w:asciiTheme="minorHAnsi" w:hAnsiTheme="minorHAnsi" w:cstheme="minorHAnsi"/>
          <w:b/>
          <w:sz w:val="28"/>
          <w:szCs w:val="28"/>
        </w:rPr>
        <w:t>L’évolution des in</w:t>
      </w:r>
      <w:r w:rsidR="00C705F9" w:rsidRPr="001B3E60">
        <w:rPr>
          <w:rFonts w:asciiTheme="minorHAnsi" w:hAnsiTheme="minorHAnsi" w:cstheme="minorHAnsi"/>
          <w:b/>
          <w:sz w:val="28"/>
          <w:szCs w:val="28"/>
        </w:rPr>
        <w:t>égalités</w:t>
      </w:r>
      <w:r>
        <w:rPr>
          <w:rFonts w:asciiTheme="minorHAnsi" w:hAnsiTheme="minorHAnsi" w:cstheme="minorHAnsi"/>
          <w:b/>
          <w:sz w:val="28"/>
          <w:szCs w:val="28"/>
        </w:rPr>
        <w:t xml:space="preserve"> de revenus en Europe</w:t>
      </w:r>
    </w:p>
    <w:p w14:paraId="26784E3A" w14:textId="77777777" w:rsidR="001B3E60" w:rsidRDefault="001B3E60" w:rsidP="001B3E60">
      <w:pPr>
        <w:pStyle w:val="NormalWeb"/>
        <w:shd w:val="clear" w:color="auto" w:fill="FFFFFF"/>
        <w:spacing w:before="0" w:beforeAutospacing="0" w:after="0" w:afterAutospacing="0"/>
        <w:rPr>
          <w:rFonts w:ascii="Arial" w:hAnsi="Arial" w:cs="Arial"/>
          <w:bCs/>
          <w:i/>
        </w:rPr>
      </w:pPr>
    </w:p>
    <w:p w14:paraId="60AE584B" w14:textId="77777777" w:rsidR="004D2561" w:rsidRDefault="004D2561" w:rsidP="004D2561">
      <w:pPr>
        <w:pStyle w:val="NormalWeb"/>
        <w:shd w:val="clear" w:color="auto" w:fill="FFFFFF"/>
        <w:spacing w:before="0" w:beforeAutospacing="0" w:after="0" w:afterAutospacing="0"/>
        <w:rPr>
          <w:rFonts w:asciiTheme="minorHAnsi" w:hAnsiTheme="minorHAnsi" w:cstheme="minorHAnsi"/>
          <w:bCs/>
          <w:i/>
        </w:rPr>
      </w:pPr>
      <w:r w:rsidRPr="001B3E60">
        <w:rPr>
          <w:rFonts w:asciiTheme="minorHAnsi" w:hAnsiTheme="minorHAnsi" w:cstheme="minorHAnsi"/>
          <w:bCs/>
          <w:i/>
        </w:rPr>
        <w:t>Les inégalités de revenus ont très légèrement baissé en Europe depuis le milieu des années 2000. Les écarts restent cependant marqués entre pays. Ceux du Nord restent, dans l’ensemble, plus égalitaires, alors que les écarts de revenus demeurent très importants dans les pays du sud de l’Europe.</w:t>
      </w:r>
    </w:p>
    <w:p w14:paraId="1B7E2B30" w14:textId="77777777" w:rsidR="004D2561" w:rsidRDefault="004D2561" w:rsidP="004D2561">
      <w:pPr>
        <w:pStyle w:val="NormalWeb"/>
        <w:shd w:val="clear" w:color="auto" w:fill="FFFFFF"/>
        <w:spacing w:before="0" w:beforeAutospacing="0" w:after="0" w:afterAutospacing="0"/>
        <w:rPr>
          <w:rFonts w:asciiTheme="minorHAnsi" w:hAnsiTheme="minorHAnsi" w:cstheme="minorHAnsi"/>
          <w:bCs/>
          <w:i/>
        </w:rPr>
      </w:pPr>
    </w:p>
    <w:p w14:paraId="6AE79293" w14:textId="5AE983A0" w:rsidR="001B3E60" w:rsidRPr="004D2561" w:rsidRDefault="001B3E60" w:rsidP="004D2561">
      <w:pPr>
        <w:pStyle w:val="NormalWeb"/>
        <w:shd w:val="clear" w:color="auto" w:fill="FFFFFF"/>
        <w:spacing w:before="0" w:beforeAutospacing="0" w:after="0" w:afterAutospacing="0"/>
        <w:rPr>
          <w:rFonts w:asciiTheme="minorHAnsi" w:hAnsiTheme="minorHAnsi" w:cstheme="minorHAnsi"/>
          <w:bCs/>
          <w:i/>
        </w:rPr>
      </w:pPr>
      <w:r w:rsidRPr="001B3E60">
        <w:rPr>
          <w:rFonts w:asciiTheme="minorHAnsi" w:hAnsiTheme="minorHAnsi" w:cstheme="minorHAnsi"/>
          <w:color w:val="333333"/>
        </w:rPr>
        <w:t>Entre 2006 et 2016, dix pays européens sur les dix-huit de notre sélection ont connu une diminution des inégalités de revenus si on les mesure par l’indice de Gini</w:t>
      </w:r>
      <w:r w:rsidRPr="001B3E60">
        <w:rPr>
          <w:rFonts w:asciiTheme="minorHAnsi" w:hAnsiTheme="minorHAnsi" w:cstheme="minorHAnsi"/>
          <w:color w:val="333333"/>
          <w:vertAlign w:val="superscript"/>
        </w:rPr>
        <w:t>1</w:t>
      </w:r>
      <w:r w:rsidRPr="001B3E60">
        <w:rPr>
          <w:rFonts w:asciiTheme="minorHAnsi" w:hAnsiTheme="minorHAnsi" w:cstheme="minorHAnsi"/>
          <w:color w:val="333333"/>
        </w:rPr>
        <w:t>, selon les données 2016</w:t>
      </w:r>
      <w:r w:rsidRPr="001B3E60">
        <w:rPr>
          <w:rStyle w:val="spipnoteref"/>
          <w:rFonts w:asciiTheme="minorHAnsi" w:eastAsiaTheme="majorEastAsia" w:hAnsiTheme="minorHAnsi" w:cstheme="minorHAnsi"/>
          <w:color w:val="333333"/>
          <w:spacing w:val="15"/>
          <w:vertAlign w:val="superscript"/>
        </w:rPr>
        <w:t xml:space="preserve">2 </w:t>
      </w:r>
      <w:r w:rsidRPr="001B3E60">
        <w:rPr>
          <w:rFonts w:asciiTheme="minorHAnsi" w:hAnsiTheme="minorHAnsi" w:cstheme="minorHAnsi"/>
          <w:color w:val="333333"/>
        </w:rPr>
        <w:t>d’Eurostat. La plus forte baisse est observée en Roumanie (avec un coefficient de Gini de 0,38 en 2006 contre 0,33 en 2016). Étonnamment, compte tenu de sa situation économique défavorable, le Portugal a également vu fortement baisser ses inégalités de revenus de 0,37 en 2006 à 0,34 en 2016. Ces écarts ont aussi diminué sur la période en Pologne (- 0,02 point), en Allemagne (- 0,01 point), en Irlande (- 0,02 point) et au Royaume-Uni (- 0,01 point), même si le coefficient de Gini n’est connu pour ces deux derniers pays que jusqu’en 2015.</w:t>
      </w:r>
    </w:p>
    <w:p w14:paraId="50EEFB6D" w14:textId="77777777" w:rsidR="001B3E60" w:rsidRPr="001B3E60" w:rsidRDefault="001B3E60" w:rsidP="001B3E60">
      <w:pPr>
        <w:pStyle w:val="NormalWeb"/>
        <w:shd w:val="clear" w:color="auto" w:fill="FFFFFF"/>
        <w:spacing w:before="180" w:beforeAutospacing="0" w:after="0" w:afterAutospacing="0"/>
        <w:jc w:val="both"/>
        <w:rPr>
          <w:rFonts w:asciiTheme="minorHAnsi" w:hAnsiTheme="minorHAnsi" w:cstheme="minorHAnsi"/>
          <w:color w:val="333333"/>
        </w:rPr>
      </w:pPr>
      <w:r w:rsidRPr="001B3E60">
        <w:rPr>
          <w:rFonts w:asciiTheme="minorHAnsi" w:hAnsiTheme="minorHAnsi" w:cstheme="minorHAnsi"/>
          <w:color w:val="333333"/>
        </w:rPr>
        <w:t>En 2016, la Finlande, la Belgique et la Norvège se classent parmi les pays les moins inégalitaires en termes de revenus avec un coefficient de Gini de l’ordre de 0,26, alors que des pays du sud de l’Europe comme l’Espagne, le Portugal ou la Grèce affichent un indice élevé, de l’ordre de 0,34 contre 0,30 pour la moyenne européenne.</w:t>
      </w:r>
    </w:p>
    <w:p w14:paraId="7B305F55" w14:textId="77777777" w:rsidR="001B3E60" w:rsidRPr="001B3E60" w:rsidRDefault="001B3E60" w:rsidP="001B3E60">
      <w:pPr>
        <w:pStyle w:val="NormalWeb"/>
        <w:shd w:val="clear" w:color="auto" w:fill="FFFFFF"/>
        <w:spacing w:before="180" w:beforeAutospacing="0" w:after="0" w:afterAutospacing="0"/>
        <w:jc w:val="both"/>
        <w:rPr>
          <w:rFonts w:asciiTheme="minorHAnsi" w:hAnsiTheme="minorHAnsi" w:cstheme="minorHAnsi"/>
          <w:color w:val="333333"/>
        </w:rPr>
      </w:pPr>
      <w:r w:rsidRPr="001B3E60">
        <w:rPr>
          <w:rFonts w:asciiTheme="minorHAnsi" w:hAnsiTheme="minorHAnsi" w:cstheme="minorHAnsi"/>
          <w:color w:val="333333"/>
        </w:rPr>
        <w:t>La hausse des inégalités de revenus est particulièrement marquée en Suède durant ces dix années pendant lesquelles le coefficient de Gini est passé de 0,23 en 2006 à 0,28 en 2016. Un niveau d’inégalités qui cependant reste bas au regard de la moyenne européenne. La France arrive tout de suite derrière avec une hausse assez marquée (+ 0,03 point). Le coefficient de Gini y est passé de 0,27 à 0,29 entre 2006 et 2016.</w:t>
      </w:r>
    </w:p>
    <w:p w14:paraId="09C63ED0" w14:textId="77777777" w:rsidR="001B3E60" w:rsidRPr="001B3E60" w:rsidRDefault="001B3E60" w:rsidP="001B3E60">
      <w:pPr>
        <w:pStyle w:val="NormalWeb"/>
        <w:shd w:val="clear" w:color="auto" w:fill="FFFFFF"/>
        <w:spacing w:before="180" w:beforeAutospacing="0" w:after="0" w:afterAutospacing="0"/>
        <w:jc w:val="both"/>
        <w:rPr>
          <w:rFonts w:asciiTheme="minorHAnsi" w:hAnsiTheme="minorHAnsi" w:cstheme="minorHAnsi"/>
          <w:color w:val="333333"/>
        </w:rPr>
      </w:pPr>
      <w:r w:rsidRPr="001B3E60">
        <w:rPr>
          <w:rFonts w:asciiTheme="minorHAnsi" w:hAnsiTheme="minorHAnsi" w:cstheme="minorHAnsi"/>
          <w:color w:val="333333"/>
        </w:rPr>
        <w:t>Que doit-on retenir finalement ? La tendance à la baisse des inégalités de revenus au niveau européen est bien réelle sur cette période de dix ans, même si elle est minime. Elle est due en partie à la crise financière qui a secoué les marchés financiers et qui a eu un impact fort entre 2009 et 2012 sur les niveaux de vie des plus aisés dans les pays les plus riches d’Europe et où les revenus du patrimoine sont les plus élevés. Il ne s’agit toutefois pas d’une diminution généralisée. Compte tenu des incertitudes sur les données d’Eurostat et les nombreuses ruptures de série, il faut cependant considérer les évolutions avec beaucoup de précautions (voir encadré).</w:t>
      </w:r>
    </w:p>
    <w:p w14:paraId="156459A7" w14:textId="77777777" w:rsidR="001B3E60" w:rsidRPr="001B3E60" w:rsidRDefault="001B3E60" w:rsidP="001B3E60">
      <w:pPr>
        <w:pStyle w:val="NormalWeb"/>
        <w:shd w:val="clear" w:color="auto" w:fill="FFFFFF"/>
        <w:spacing w:before="180" w:beforeAutospacing="0" w:after="0" w:afterAutospacing="0"/>
        <w:jc w:val="both"/>
        <w:rPr>
          <w:rFonts w:asciiTheme="minorHAnsi" w:hAnsiTheme="minorHAnsi" w:cstheme="minorHAnsi"/>
          <w:color w:val="333333"/>
        </w:rPr>
      </w:pPr>
      <w:r w:rsidRPr="001B3E60">
        <w:rPr>
          <w:rFonts w:asciiTheme="minorHAnsi" w:hAnsiTheme="minorHAnsi" w:cstheme="minorHAnsi"/>
          <w:color w:val="333333"/>
        </w:rPr>
        <w:t>Ces données permettent de comparer les pays. On voit nettement d’un côté se détacher les pays du sud de l’Europe (Espagne, Portugal, Grèce), mais aussi le Royaume-Uni et la Roumanie, les plus inégalitaires en termes de revenus, et ceux du nord de l’Europe (Finlande, Norvège, Belgique et Pays-Bas) où les écarts de revenus se situent bien en dessous de la moyenne. La France et l’Allemagne occupent des positions intermédiaires dans la hiérarchie.</w:t>
      </w:r>
    </w:p>
    <w:p w14:paraId="135C4956" w14:textId="77777777" w:rsidR="001B3E60" w:rsidRDefault="001B3E60">
      <w:pPr>
        <w:rPr>
          <w:rFonts w:asciiTheme="minorHAnsi" w:hAnsiTheme="minorHAnsi" w:cstheme="minorHAnsi"/>
          <w:color w:val="333333"/>
        </w:rPr>
      </w:pPr>
      <w:r>
        <w:rPr>
          <w:rFonts w:asciiTheme="minorHAnsi" w:hAnsiTheme="minorHAnsi" w:cstheme="minorHAnsi"/>
          <w:color w:val="333333"/>
        </w:rPr>
        <w:br w:type="page"/>
      </w:r>
    </w:p>
    <w:p w14:paraId="6FA55811" w14:textId="77777777" w:rsidR="004D2561" w:rsidRDefault="001B3E60" w:rsidP="001B3E60">
      <w:pPr>
        <w:shd w:val="clear" w:color="auto" w:fill="FFFFFF"/>
        <w:rPr>
          <w:rFonts w:asciiTheme="minorHAnsi" w:hAnsiTheme="minorHAnsi" w:cstheme="minorHAnsi"/>
          <w:i/>
          <w:color w:val="333333"/>
        </w:rPr>
      </w:pPr>
      <w:r>
        <w:rPr>
          <w:noProof/>
        </w:rPr>
        <w:lastRenderedPageBreak/>
        <w:drawing>
          <wp:inline distT="0" distB="0" distL="0" distR="0" wp14:anchorId="28EB3209" wp14:editId="61EB48E0">
            <wp:extent cx="5756910" cy="29787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6910" cy="2978785"/>
                    </a:xfrm>
                    <a:prstGeom prst="rect">
                      <a:avLst/>
                    </a:prstGeom>
                  </pic:spPr>
                </pic:pic>
              </a:graphicData>
            </a:graphic>
          </wp:inline>
        </w:drawing>
      </w:r>
      <w:r w:rsidRPr="001B3E60">
        <w:rPr>
          <w:rFonts w:asciiTheme="minorHAnsi" w:hAnsiTheme="minorHAnsi" w:cstheme="minorHAnsi"/>
          <w:color w:val="333333"/>
        </w:rPr>
        <w:t xml:space="preserve"> </w:t>
      </w:r>
      <w:r w:rsidRPr="004D2561">
        <w:rPr>
          <w:rFonts w:asciiTheme="minorHAnsi" w:hAnsiTheme="minorHAnsi" w:cstheme="minorHAnsi"/>
          <w:i/>
          <w:color w:val="333333"/>
        </w:rPr>
        <w:t>Eurostat affiche sur son site internet les années de collecte des données sur les revenus, ce qui peut prêter à confusion. Nous corrigeons en indiquant ici l’année de pe</w:t>
      </w:r>
      <w:r w:rsidR="004D2561">
        <w:rPr>
          <w:rFonts w:asciiTheme="minorHAnsi" w:hAnsiTheme="minorHAnsi" w:cstheme="minorHAnsi"/>
          <w:i/>
          <w:color w:val="333333"/>
        </w:rPr>
        <w:t>rception effective des revenus.</w:t>
      </w:r>
    </w:p>
    <w:p w14:paraId="2B1B5850" w14:textId="77777777" w:rsidR="004D2561" w:rsidRDefault="001B3E60" w:rsidP="004D2561">
      <w:pPr>
        <w:shd w:val="clear" w:color="auto" w:fill="FFFFFF"/>
        <w:rPr>
          <w:rFonts w:asciiTheme="minorHAnsi" w:hAnsiTheme="minorHAnsi" w:cstheme="minorHAnsi"/>
          <w:i/>
          <w:color w:val="333333"/>
        </w:rPr>
      </w:pPr>
      <w:proofErr w:type="spellStart"/>
      <w:proofErr w:type="gramStart"/>
      <w:r w:rsidRPr="004D2561">
        <w:rPr>
          <w:rFonts w:asciiTheme="minorHAnsi" w:hAnsiTheme="minorHAnsi" w:cstheme="minorHAnsi"/>
          <w:i/>
          <w:color w:val="333333"/>
        </w:rPr>
        <w:t>nd</w:t>
      </w:r>
      <w:proofErr w:type="spellEnd"/>
      <w:proofErr w:type="gramEnd"/>
      <w:r w:rsidRPr="004D2561">
        <w:rPr>
          <w:rFonts w:asciiTheme="minorHAnsi" w:hAnsiTheme="minorHAnsi" w:cstheme="minorHAnsi"/>
          <w:i/>
          <w:color w:val="333333"/>
        </w:rPr>
        <w:t xml:space="preserve"> : non disponible.</w:t>
      </w:r>
    </w:p>
    <w:p w14:paraId="1F951D90" w14:textId="09480603" w:rsidR="001B3E60" w:rsidRPr="004D2561" w:rsidRDefault="001B3E60" w:rsidP="004D2561">
      <w:pPr>
        <w:shd w:val="clear" w:color="auto" w:fill="FFFFFF"/>
        <w:rPr>
          <w:rFonts w:asciiTheme="minorHAnsi" w:hAnsiTheme="minorHAnsi" w:cstheme="minorHAnsi"/>
          <w:i/>
          <w:color w:val="333333"/>
        </w:rPr>
      </w:pPr>
      <w:r w:rsidRPr="001B3E60">
        <w:rPr>
          <w:rFonts w:asciiTheme="minorHAnsi" w:hAnsiTheme="minorHAnsi" w:cstheme="minorHAnsi"/>
          <w:i/>
          <w:iCs/>
          <w:color w:val="333333"/>
        </w:rPr>
        <w:t>NB : les données 2016 ne sont pas disponibles pour l’Irlande et le Royaume-Uni (respectivement 0,30 et 0,32 en 2015).</w:t>
      </w:r>
    </w:p>
    <w:p w14:paraId="154B9473" w14:textId="48F3A21E" w:rsidR="001B3E60" w:rsidRDefault="001B3E60" w:rsidP="001B3E60">
      <w:pPr>
        <w:pStyle w:val="NormalWeb"/>
        <w:shd w:val="clear" w:color="auto" w:fill="FFFFFF"/>
        <w:spacing w:before="180" w:beforeAutospacing="0" w:after="0" w:afterAutospacing="0"/>
        <w:jc w:val="both"/>
        <w:rPr>
          <w:rFonts w:asciiTheme="minorHAnsi" w:hAnsiTheme="minorHAnsi" w:cstheme="minorHAnsi"/>
          <w:color w:val="333333"/>
        </w:rPr>
      </w:pPr>
    </w:p>
    <w:p w14:paraId="459F330A" w14:textId="77777777" w:rsidR="004927F2" w:rsidRPr="001B3E60" w:rsidRDefault="004927F2" w:rsidP="001B3E60">
      <w:pPr>
        <w:pStyle w:val="NormalWeb"/>
        <w:shd w:val="clear" w:color="auto" w:fill="FFFFFF"/>
        <w:spacing w:before="180" w:beforeAutospacing="0" w:after="0" w:afterAutospacing="0"/>
        <w:jc w:val="both"/>
        <w:rPr>
          <w:rFonts w:asciiTheme="minorHAnsi" w:hAnsiTheme="minorHAnsi" w:cstheme="minorHAnsi"/>
          <w:color w:val="333333"/>
        </w:rPr>
      </w:pPr>
    </w:p>
    <w:tbl>
      <w:tblPr>
        <w:tblW w:w="8937" w:type="dxa"/>
        <w:tblCellMar>
          <w:top w:w="15" w:type="dxa"/>
          <w:left w:w="15" w:type="dxa"/>
          <w:bottom w:w="15" w:type="dxa"/>
          <w:right w:w="15" w:type="dxa"/>
        </w:tblCellMar>
        <w:tblLook w:val="04A0" w:firstRow="1" w:lastRow="0" w:firstColumn="1" w:lastColumn="0" w:noHBand="0" w:noVBand="1"/>
      </w:tblPr>
      <w:tblGrid>
        <w:gridCol w:w="8937"/>
      </w:tblGrid>
      <w:tr w:rsidR="001B3E60" w:rsidRPr="001B3E60" w14:paraId="512F09AA" w14:textId="77777777" w:rsidTr="004D2561">
        <w:trPr>
          <w:trHeight w:val="1655"/>
        </w:trPr>
        <w:tc>
          <w:tcPr>
            <w:tcW w:w="0" w:type="auto"/>
            <w:tcBorders>
              <w:top w:val="nil"/>
              <w:left w:val="nil"/>
              <w:bottom w:val="nil"/>
              <w:right w:val="nil"/>
            </w:tcBorders>
            <w:shd w:val="clear" w:color="auto" w:fill="EDECEC"/>
            <w:tcMar>
              <w:top w:w="150" w:type="dxa"/>
              <w:left w:w="450" w:type="dxa"/>
              <w:bottom w:w="450" w:type="dxa"/>
              <w:right w:w="450" w:type="dxa"/>
            </w:tcMar>
            <w:hideMark/>
          </w:tcPr>
          <w:p w14:paraId="32DD6B24" w14:textId="77777777" w:rsidR="001B3E60" w:rsidRPr="001B3E60" w:rsidRDefault="001B3E60">
            <w:pPr>
              <w:spacing w:before="180"/>
              <w:rPr>
                <w:rFonts w:asciiTheme="minorHAnsi" w:hAnsiTheme="minorHAnsi" w:cstheme="minorHAnsi"/>
                <w:b/>
                <w:color w:val="333333"/>
              </w:rPr>
            </w:pPr>
            <w:r w:rsidRPr="001B3E60">
              <w:rPr>
                <w:rFonts w:asciiTheme="minorHAnsi" w:hAnsiTheme="minorHAnsi" w:cstheme="minorHAnsi"/>
                <w:b/>
                <w:color w:val="333333"/>
              </w:rPr>
              <w:t>Prudence avec les données internationales</w:t>
            </w:r>
          </w:p>
          <w:p w14:paraId="7A0C9EA5" w14:textId="6BC2FFD4" w:rsidR="001B3E60" w:rsidRPr="001B3E60" w:rsidRDefault="001B3E60">
            <w:pPr>
              <w:spacing w:before="180"/>
              <w:rPr>
                <w:rFonts w:asciiTheme="minorHAnsi" w:hAnsiTheme="minorHAnsi" w:cstheme="minorHAnsi"/>
                <w:color w:val="333333"/>
              </w:rPr>
            </w:pPr>
            <w:r w:rsidRPr="001B3E60">
              <w:rPr>
                <w:rFonts w:asciiTheme="minorHAnsi" w:hAnsiTheme="minorHAnsi" w:cstheme="minorHAnsi"/>
                <w:color w:val="333333"/>
              </w:rPr>
              <w:t>On ne dispose que d’une information très parcellaire sur un sujet aussi essentiel que les inégalités de revenus. Les séries sont entachées de nombreuses ruptures dans le temps : il faut les considérer uniquement comme des ordres de grandeur. Eurostat indique rarement de façon explicite que les enquêtes sur les revenus en Europe sont réalisées avec des méthodes différentes selon les pays (soit par téléphone, soit par courrier ou par fichiers administratifs), que les taux de non réponse varient entre les états et que les méthodes ont changé au fil du temps. L’Europe statistique reste à construire contrairement aux apparences.</w:t>
            </w:r>
          </w:p>
        </w:tc>
      </w:tr>
    </w:tbl>
    <w:p w14:paraId="455C68DE" w14:textId="77777777" w:rsidR="001B3E60" w:rsidRPr="001B3E60" w:rsidRDefault="001B3E60" w:rsidP="001B3E60">
      <w:pPr>
        <w:pStyle w:val="NormalWeb"/>
        <w:shd w:val="clear" w:color="auto" w:fill="FFFFFF"/>
        <w:spacing w:before="0" w:beforeAutospacing="0" w:after="0" w:afterAutospacing="0"/>
        <w:jc w:val="both"/>
        <w:rPr>
          <w:rFonts w:asciiTheme="minorHAnsi" w:hAnsiTheme="minorHAnsi" w:cstheme="minorHAnsi"/>
          <w:i/>
          <w:iCs/>
        </w:rPr>
      </w:pPr>
    </w:p>
    <w:p w14:paraId="69516901" w14:textId="38F5B7FB" w:rsidR="009C5C15" w:rsidRDefault="009C5C15" w:rsidP="001B3E60">
      <w:pPr>
        <w:jc w:val="both"/>
        <w:rPr>
          <w:rFonts w:asciiTheme="minorHAnsi" w:hAnsiTheme="minorHAnsi" w:cstheme="minorHAnsi"/>
        </w:rPr>
      </w:pPr>
    </w:p>
    <w:p w14:paraId="459FE463" w14:textId="77777777" w:rsidR="004927F2" w:rsidRPr="001B3E60" w:rsidRDefault="004927F2" w:rsidP="001B3E60">
      <w:pPr>
        <w:jc w:val="both"/>
        <w:rPr>
          <w:rFonts w:asciiTheme="minorHAnsi" w:hAnsiTheme="minorHAnsi" w:cstheme="minorHAnsi"/>
        </w:rPr>
      </w:pPr>
    </w:p>
    <w:p w14:paraId="45B3FBAB" w14:textId="07C066EF" w:rsidR="001B3E60" w:rsidRPr="009F575B" w:rsidRDefault="009C5C15" w:rsidP="001B3E60">
      <w:pPr>
        <w:jc w:val="both"/>
        <w:rPr>
          <w:rFonts w:asciiTheme="minorHAnsi" w:hAnsiTheme="minorHAnsi" w:cstheme="minorHAnsi"/>
        </w:rPr>
      </w:pPr>
      <w:r w:rsidRPr="009F575B">
        <w:rPr>
          <w:rFonts w:asciiTheme="minorHAnsi" w:hAnsiTheme="minorHAnsi" w:cstheme="minorHAnsi"/>
        </w:rPr>
        <w:t xml:space="preserve">Source : </w:t>
      </w:r>
      <w:r w:rsidR="001B3E60" w:rsidRPr="009F575B">
        <w:rPr>
          <w:rFonts w:asciiTheme="minorHAnsi" w:hAnsiTheme="minorHAnsi" w:cstheme="minorHAnsi"/>
          <w:color w:val="333333"/>
        </w:rPr>
        <w:t>Eurostat – © Observatoire des inégalités</w:t>
      </w:r>
      <w:r w:rsidR="001B3E60" w:rsidRPr="009F575B">
        <w:rPr>
          <w:rFonts w:asciiTheme="minorHAnsi" w:hAnsiTheme="minorHAnsi" w:cstheme="minorHAnsi"/>
        </w:rPr>
        <w:t xml:space="preserve">, </w:t>
      </w:r>
      <w:r w:rsidR="009609E2">
        <w:rPr>
          <w:rFonts w:asciiTheme="minorHAnsi" w:hAnsiTheme="minorHAnsi" w:cstheme="minorHAnsi"/>
        </w:rPr>
        <w:t xml:space="preserve">9 </w:t>
      </w:r>
      <w:bookmarkStart w:id="0" w:name="_GoBack"/>
      <w:bookmarkEnd w:id="0"/>
      <w:r w:rsidR="001B3E60" w:rsidRPr="009F575B">
        <w:rPr>
          <w:rFonts w:asciiTheme="minorHAnsi" w:hAnsiTheme="minorHAnsi" w:cstheme="minorHAnsi"/>
        </w:rPr>
        <w:t>novembre 2018.</w:t>
      </w:r>
    </w:p>
    <w:p w14:paraId="6DA7DC24" w14:textId="72A882EF" w:rsidR="009C5C15" w:rsidRPr="009F575B" w:rsidRDefault="00802854" w:rsidP="001B3E60">
      <w:pPr>
        <w:jc w:val="both"/>
        <w:rPr>
          <w:rFonts w:asciiTheme="minorHAnsi" w:hAnsiTheme="minorHAnsi" w:cstheme="minorHAnsi"/>
        </w:rPr>
      </w:pPr>
      <w:hyperlink r:id="rId8" w:history="1">
        <w:r w:rsidR="001B3E60" w:rsidRPr="009F575B">
          <w:rPr>
            <w:rStyle w:val="Lienhypertexte"/>
            <w:rFonts w:asciiTheme="minorHAnsi" w:hAnsiTheme="minorHAnsi" w:cstheme="minorHAnsi"/>
          </w:rPr>
          <w:t>https://www.inegalites.fr/L-evolution-des-inegalites-de-revenus-en-Europe</w:t>
        </w:r>
      </w:hyperlink>
    </w:p>
    <w:p w14:paraId="4A5D9535" w14:textId="4B712055" w:rsidR="001B3E60" w:rsidRPr="001B3E60" w:rsidRDefault="001B3E60" w:rsidP="001B3E60">
      <w:pPr>
        <w:jc w:val="both"/>
        <w:rPr>
          <w:rFonts w:asciiTheme="minorHAnsi" w:hAnsiTheme="minorHAnsi" w:cstheme="minorHAnsi"/>
          <w:highlight w:val="yellow"/>
        </w:rPr>
      </w:pPr>
    </w:p>
    <w:p w14:paraId="23683D8D" w14:textId="4017D11D" w:rsidR="001B3E60" w:rsidRPr="001B3E60" w:rsidRDefault="001B3E60" w:rsidP="001B3E60">
      <w:pPr>
        <w:pStyle w:val="NormalWeb"/>
        <w:numPr>
          <w:ilvl w:val="0"/>
          <w:numId w:val="12"/>
        </w:numPr>
        <w:shd w:val="clear" w:color="auto" w:fill="FFFFFF"/>
        <w:spacing w:before="0" w:beforeAutospacing="0" w:after="0" w:afterAutospacing="0"/>
        <w:jc w:val="both"/>
        <w:rPr>
          <w:rFonts w:asciiTheme="minorHAnsi" w:hAnsiTheme="minorHAnsi" w:cstheme="minorHAnsi"/>
          <w:color w:val="333333"/>
          <w:sz w:val="20"/>
          <w:szCs w:val="20"/>
        </w:rPr>
      </w:pPr>
      <w:r w:rsidRPr="001B3E60">
        <w:rPr>
          <w:rFonts w:asciiTheme="minorHAnsi" w:hAnsiTheme="minorHAnsi" w:cstheme="minorHAnsi"/>
          <w:color w:val="333333"/>
          <w:sz w:val="20"/>
          <w:szCs w:val="20"/>
        </w:rPr>
        <w:t>Il compare l’état de la répartition des revenus à une situation théorique d’égalité parfaite. Plus il est proche de 0, plus on s’approche de l’égalité (tous les individus ont le même revenu). Plus il est proche de 1, plus on est proche de l’inégalité totale (un seul individu reçoit tous les revenus).</w:t>
      </w:r>
    </w:p>
    <w:p w14:paraId="710E02DE" w14:textId="77777777" w:rsidR="001B3E60" w:rsidRPr="001B3E60" w:rsidRDefault="001B3E60" w:rsidP="001B3E60">
      <w:pPr>
        <w:pStyle w:val="NormalWeb"/>
        <w:numPr>
          <w:ilvl w:val="0"/>
          <w:numId w:val="12"/>
        </w:numPr>
        <w:shd w:val="clear" w:color="auto" w:fill="FFFFFF"/>
        <w:spacing w:before="0" w:beforeAutospacing="0" w:after="0" w:afterAutospacing="0"/>
        <w:jc w:val="both"/>
        <w:rPr>
          <w:rFonts w:asciiTheme="minorHAnsi" w:hAnsiTheme="minorHAnsi" w:cstheme="minorHAnsi"/>
          <w:color w:val="333333"/>
          <w:sz w:val="20"/>
          <w:szCs w:val="20"/>
        </w:rPr>
      </w:pPr>
      <w:r w:rsidRPr="001B3E60">
        <w:rPr>
          <w:rFonts w:asciiTheme="minorHAnsi" w:hAnsiTheme="minorHAnsi" w:cstheme="minorHAnsi"/>
          <w:color w:val="333333"/>
          <w:sz w:val="20"/>
          <w:szCs w:val="20"/>
        </w:rPr>
        <w:t>Année de perception effective des revenus.</w:t>
      </w:r>
    </w:p>
    <w:p w14:paraId="12788A7B" w14:textId="0D4E7DE2" w:rsidR="00C422DF" w:rsidRPr="001B3E60" w:rsidRDefault="00C422DF" w:rsidP="001B3E60">
      <w:pPr>
        <w:jc w:val="both"/>
        <w:rPr>
          <w:rFonts w:asciiTheme="minorHAnsi" w:hAnsiTheme="minorHAnsi" w:cstheme="minorHAnsi"/>
          <w:highlight w:val="yellow"/>
        </w:rPr>
      </w:pPr>
    </w:p>
    <w:p w14:paraId="6839A9ED" w14:textId="77777777" w:rsidR="004D2561" w:rsidRPr="004D2561" w:rsidRDefault="004D2561" w:rsidP="004D256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4D2561">
        <w:rPr>
          <w:rFonts w:asciiTheme="minorHAnsi" w:hAnsiTheme="minorHAnsi" w:cstheme="minorHAnsi"/>
          <w:b/>
        </w:rPr>
        <w:t>Exploitation pédagogique</w:t>
      </w:r>
    </w:p>
    <w:p w14:paraId="0738C5CA" w14:textId="77777777" w:rsidR="004D2561" w:rsidRPr="004D2561" w:rsidRDefault="004D2561" w:rsidP="004D2561">
      <w:pPr>
        <w:jc w:val="both"/>
        <w:rPr>
          <w:rFonts w:asciiTheme="minorHAnsi" w:hAnsiTheme="minorHAnsi" w:cstheme="minorHAnsi"/>
          <w:sz w:val="10"/>
          <w:szCs w:val="10"/>
        </w:rPr>
      </w:pPr>
    </w:p>
    <w:p w14:paraId="73F4DAAC" w14:textId="77777777" w:rsidR="004D2561" w:rsidRPr="004D2561" w:rsidRDefault="004D2561" w:rsidP="004D2561">
      <w:pPr>
        <w:jc w:val="both"/>
        <w:rPr>
          <w:rFonts w:asciiTheme="minorHAnsi" w:hAnsiTheme="minorHAnsi" w:cstheme="minorHAnsi"/>
          <w:sz w:val="10"/>
          <w:szCs w:val="10"/>
        </w:rPr>
      </w:pPr>
    </w:p>
    <w:p w14:paraId="38992D68" w14:textId="76D41B16" w:rsidR="004D2561" w:rsidRPr="004D2561" w:rsidRDefault="004D2561" w:rsidP="004D2561">
      <w:pPr>
        <w:jc w:val="both"/>
        <w:rPr>
          <w:rFonts w:asciiTheme="minorHAnsi" w:hAnsiTheme="minorHAnsi" w:cstheme="minorHAnsi"/>
        </w:rPr>
      </w:pPr>
      <w:r w:rsidRPr="004D2561">
        <w:rPr>
          <w:rFonts w:asciiTheme="minorHAnsi" w:hAnsiTheme="minorHAnsi" w:cstheme="minorHAnsi"/>
        </w:rPr>
        <w:t xml:space="preserve">1. </w:t>
      </w:r>
      <w:r w:rsidR="0054693B" w:rsidRPr="004D2561">
        <w:rPr>
          <w:rFonts w:asciiTheme="minorHAnsi" w:hAnsiTheme="minorHAnsi" w:cstheme="minorHAnsi"/>
        </w:rPr>
        <w:t>Que signifie un c</w:t>
      </w:r>
      <w:r w:rsidR="00D12A52">
        <w:rPr>
          <w:rFonts w:asciiTheme="minorHAnsi" w:hAnsiTheme="minorHAnsi" w:cstheme="minorHAnsi"/>
        </w:rPr>
        <w:t xml:space="preserve">oefficient </w:t>
      </w:r>
      <w:r w:rsidR="0054693B" w:rsidRPr="004D2561">
        <w:rPr>
          <w:rFonts w:asciiTheme="minorHAnsi" w:hAnsiTheme="minorHAnsi" w:cstheme="minorHAnsi"/>
        </w:rPr>
        <w:t>de Gini élevé ?</w:t>
      </w:r>
    </w:p>
    <w:p w14:paraId="5787F56E" w14:textId="4FDB096A" w:rsidR="00A70169" w:rsidRPr="004D2561" w:rsidRDefault="004D2561" w:rsidP="004D2561">
      <w:pPr>
        <w:rPr>
          <w:rFonts w:asciiTheme="minorHAnsi" w:hAnsiTheme="minorHAnsi" w:cstheme="minorHAnsi"/>
          <w:b/>
        </w:rPr>
      </w:pPr>
      <w:r w:rsidRPr="004D2561">
        <w:rPr>
          <w:rFonts w:asciiTheme="minorHAnsi" w:hAnsiTheme="minorHAnsi" w:cstheme="minorHAnsi"/>
        </w:rPr>
        <w:t xml:space="preserve">2. </w:t>
      </w:r>
      <w:r w:rsidR="00A70169" w:rsidRPr="004D2561">
        <w:rPr>
          <w:rFonts w:asciiTheme="minorHAnsi" w:hAnsiTheme="minorHAnsi" w:cstheme="minorHAnsi"/>
        </w:rPr>
        <w:t xml:space="preserve">Comment </w:t>
      </w:r>
      <w:r w:rsidR="00D12A52" w:rsidRPr="004D2561">
        <w:rPr>
          <w:rFonts w:asciiTheme="minorHAnsi" w:hAnsiTheme="minorHAnsi" w:cstheme="minorHAnsi"/>
        </w:rPr>
        <w:t xml:space="preserve">les inégalités </w:t>
      </w:r>
      <w:r w:rsidR="00D12A52">
        <w:rPr>
          <w:rFonts w:asciiTheme="minorHAnsi" w:hAnsiTheme="minorHAnsi" w:cstheme="minorHAnsi"/>
        </w:rPr>
        <w:t xml:space="preserve">de revenus </w:t>
      </w:r>
      <w:r w:rsidR="00D12A52" w:rsidRPr="004D2561">
        <w:rPr>
          <w:rFonts w:asciiTheme="minorHAnsi" w:hAnsiTheme="minorHAnsi" w:cstheme="minorHAnsi"/>
        </w:rPr>
        <w:t xml:space="preserve">en Europe </w:t>
      </w:r>
      <w:r w:rsidR="00D12A52">
        <w:rPr>
          <w:rFonts w:asciiTheme="minorHAnsi" w:hAnsiTheme="minorHAnsi" w:cstheme="minorHAnsi"/>
        </w:rPr>
        <w:t xml:space="preserve">ont-elles </w:t>
      </w:r>
      <w:r w:rsidR="00A70169" w:rsidRPr="004D2561">
        <w:rPr>
          <w:rFonts w:asciiTheme="minorHAnsi" w:hAnsiTheme="minorHAnsi" w:cstheme="minorHAnsi"/>
        </w:rPr>
        <w:t>globalement évolué depuis les années 2000 ?</w:t>
      </w:r>
    </w:p>
    <w:p w14:paraId="040395DC" w14:textId="755F2318" w:rsidR="007669AF" w:rsidRPr="004D2561" w:rsidRDefault="004D2561" w:rsidP="004D2561">
      <w:pPr>
        <w:jc w:val="both"/>
        <w:rPr>
          <w:rFonts w:asciiTheme="minorHAnsi" w:hAnsiTheme="minorHAnsi" w:cstheme="minorHAnsi"/>
        </w:rPr>
      </w:pPr>
      <w:r w:rsidRPr="004D2561">
        <w:rPr>
          <w:rFonts w:asciiTheme="minorHAnsi" w:hAnsiTheme="minorHAnsi" w:cstheme="minorHAnsi"/>
        </w:rPr>
        <w:t xml:space="preserve">3. </w:t>
      </w:r>
      <w:r w:rsidR="007669AF" w:rsidRPr="004D2561">
        <w:rPr>
          <w:rFonts w:asciiTheme="minorHAnsi" w:hAnsiTheme="minorHAnsi" w:cstheme="minorHAnsi"/>
        </w:rPr>
        <w:t xml:space="preserve">Donnez trois exemples de pays dans lesquels les inégalités ont diminué depuis les années 2000, et trois exemples de pays dans lesquels elles ont augmenté. </w:t>
      </w:r>
    </w:p>
    <w:p w14:paraId="1165C810" w14:textId="487C79CA" w:rsidR="007669AF" w:rsidRPr="004D2561" w:rsidRDefault="004D2561" w:rsidP="004D2561">
      <w:pPr>
        <w:jc w:val="both"/>
        <w:rPr>
          <w:rFonts w:asciiTheme="minorHAnsi" w:hAnsiTheme="minorHAnsi" w:cstheme="minorHAnsi"/>
        </w:rPr>
      </w:pPr>
      <w:r w:rsidRPr="004D2561">
        <w:rPr>
          <w:rFonts w:asciiTheme="minorHAnsi" w:hAnsiTheme="minorHAnsi" w:cstheme="minorHAnsi"/>
        </w:rPr>
        <w:t xml:space="preserve">4. </w:t>
      </w:r>
      <w:r w:rsidR="007669AF" w:rsidRPr="004D2561">
        <w:rPr>
          <w:rFonts w:asciiTheme="minorHAnsi" w:hAnsiTheme="minorHAnsi" w:cstheme="minorHAnsi"/>
        </w:rPr>
        <w:t>Complétez ce tableau :</w:t>
      </w:r>
    </w:p>
    <w:p w14:paraId="4ED1AE58" w14:textId="77777777" w:rsidR="00872686" w:rsidRPr="004D2561" w:rsidRDefault="00872686" w:rsidP="001B3E60">
      <w:pPr>
        <w:jc w:val="both"/>
        <w:rPr>
          <w:rFonts w:asciiTheme="minorHAnsi" w:hAnsiTheme="minorHAnsi" w:cstheme="minorHAnsi"/>
        </w:rPr>
      </w:pPr>
    </w:p>
    <w:tbl>
      <w:tblPr>
        <w:tblStyle w:val="Grilledutableau"/>
        <w:tblW w:w="9060" w:type="dxa"/>
        <w:tblLook w:val="04A0" w:firstRow="1" w:lastRow="0" w:firstColumn="1" w:lastColumn="0" w:noHBand="0" w:noVBand="1"/>
      </w:tblPr>
      <w:tblGrid>
        <w:gridCol w:w="1884"/>
        <w:gridCol w:w="4908"/>
        <w:gridCol w:w="2268"/>
      </w:tblGrid>
      <w:tr w:rsidR="007669AF" w:rsidRPr="004D2561" w14:paraId="56AEC4F7" w14:textId="77777777" w:rsidTr="007669AF">
        <w:tc>
          <w:tcPr>
            <w:tcW w:w="1884" w:type="dxa"/>
          </w:tcPr>
          <w:p w14:paraId="2101D8B2" w14:textId="772C5342" w:rsidR="007669AF" w:rsidRPr="004D2561" w:rsidRDefault="007669AF" w:rsidP="001B3E60">
            <w:pPr>
              <w:jc w:val="center"/>
              <w:rPr>
                <w:rFonts w:asciiTheme="minorHAnsi" w:hAnsiTheme="minorHAnsi" w:cstheme="minorHAnsi"/>
                <w:b/>
              </w:rPr>
            </w:pPr>
            <w:r w:rsidRPr="004D2561">
              <w:rPr>
                <w:rFonts w:asciiTheme="minorHAnsi" w:hAnsiTheme="minorHAnsi" w:cstheme="minorHAnsi"/>
                <w:b/>
              </w:rPr>
              <w:t>Groupe de pays</w:t>
            </w:r>
          </w:p>
        </w:tc>
        <w:tc>
          <w:tcPr>
            <w:tcW w:w="4908" w:type="dxa"/>
          </w:tcPr>
          <w:p w14:paraId="5EE2EA1F" w14:textId="41DDDB21" w:rsidR="007669AF" w:rsidRPr="004D2561" w:rsidRDefault="007669AF" w:rsidP="001B3E60">
            <w:pPr>
              <w:jc w:val="center"/>
              <w:rPr>
                <w:rFonts w:asciiTheme="minorHAnsi" w:hAnsiTheme="minorHAnsi" w:cstheme="minorHAnsi"/>
                <w:b/>
              </w:rPr>
            </w:pPr>
            <w:r w:rsidRPr="004D2561">
              <w:rPr>
                <w:rFonts w:asciiTheme="minorHAnsi" w:hAnsiTheme="minorHAnsi" w:cstheme="minorHAnsi"/>
                <w:b/>
              </w:rPr>
              <w:t>Exemples de pays</w:t>
            </w:r>
          </w:p>
        </w:tc>
        <w:tc>
          <w:tcPr>
            <w:tcW w:w="2268" w:type="dxa"/>
          </w:tcPr>
          <w:p w14:paraId="423C8FB6" w14:textId="341B1D4F" w:rsidR="007669AF" w:rsidRPr="004D2561" w:rsidRDefault="007669AF" w:rsidP="001B3E60">
            <w:pPr>
              <w:jc w:val="center"/>
              <w:rPr>
                <w:rFonts w:asciiTheme="minorHAnsi" w:hAnsiTheme="minorHAnsi" w:cstheme="minorHAnsi"/>
                <w:b/>
              </w:rPr>
            </w:pPr>
            <w:r w:rsidRPr="004D2561">
              <w:rPr>
                <w:rFonts w:asciiTheme="minorHAnsi" w:hAnsiTheme="minorHAnsi" w:cstheme="minorHAnsi"/>
                <w:b/>
              </w:rPr>
              <w:t>Degré des inégalités</w:t>
            </w:r>
          </w:p>
        </w:tc>
      </w:tr>
      <w:tr w:rsidR="007669AF" w:rsidRPr="004D2561" w14:paraId="58AE828B" w14:textId="77777777" w:rsidTr="007669AF">
        <w:tc>
          <w:tcPr>
            <w:tcW w:w="1884" w:type="dxa"/>
          </w:tcPr>
          <w:p w14:paraId="09C728A7" w14:textId="3792E356" w:rsidR="007669AF" w:rsidRPr="004D2561" w:rsidRDefault="00D12A52" w:rsidP="001B3E60">
            <w:pPr>
              <w:rPr>
                <w:rFonts w:asciiTheme="minorHAnsi" w:hAnsiTheme="minorHAnsi" w:cstheme="minorHAnsi"/>
              </w:rPr>
            </w:pPr>
            <w:r>
              <w:rPr>
                <w:rFonts w:asciiTheme="minorHAnsi" w:hAnsiTheme="minorHAnsi" w:cstheme="minorHAnsi"/>
              </w:rPr>
              <w:t>Pays du S</w:t>
            </w:r>
            <w:r w:rsidR="001B3E60" w:rsidRPr="004D2561">
              <w:rPr>
                <w:rFonts w:asciiTheme="minorHAnsi" w:hAnsiTheme="minorHAnsi" w:cstheme="minorHAnsi"/>
              </w:rPr>
              <w:t>ud de </w:t>
            </w:r>
            <w:r w:rsidR="007669AF" w:rsidRPr="004D2561">
              <w:rPr>
                <w:rFonts w:asciiTheme="minorHAnsi" w:hAnsiTheme="minorHAnsi" w:cstheme="minorHAnsi"/>
              </w:rPr>
              <w:t>l’Europe</w:t>
            </w:r>
          </w:p>
        </w:tc>
        <w:tc>
          <w:tcPr>
            <w:tcW w:w="4908" w:type="dxa"/>
          </w:tcPr>
          <w:p w14:paraId="386F37E1" w14:textId="77777777" w:rsidR="007669AF" w:rsidRPr="004D2561" w:rsidRDefault="007669AF" w:rsidP="001B3E60">
            <w:pPr>
              <w:jc w:val="both"/>
              <w:rPr>
                <w:rFonts w:asciiTheme="minorHAnsi" w:hAnsiTheme="minorHAnsi" w:cstheme="minorHAnsi"/>
              </w:rPr>
            </w:pPr>
          </w:p>
        </w:tc>
        <w:tc>
          <w:tcPr>
            <w:tcW w:w="2268" w:type="dxa"/>
          </w:tcPr>
          <w:p w14:paraId="1DBF88D5" w14:textId="77777777" w:rsidR="007669AF" w:rsidRPr="004D2561" w:rsidRDefault="007669AF" w:rsidP="001B3E60">
            <w:pPr>
              <w:jc w:val="both"/>
              <w:rPr>
                <w:rFonts w:asciiTheme="minorHAnsi" w:hAnsiTheme="minorHAnsi" w:cstheme="minorHAnsi"/>
              </w:rPr>
            </w:pPr>
          </w:p>
        </w:tc>
      </w:tr>
      <w:tr w:rsidR="007669AF" w:rsidRPr="004D2561" w14:paraId="3BF89B64" w14:textId="77777777" w:rsidTr="007669AF">
        <w:tc>
          <w:tcPr>
            <w:tcW w:w="1884" w:type="dxa"/>
          </w:tcPr>
          <w:p w14:paraId="39D2F05A" w14:textId="7A82F5BF" w:rsidR="007669AF" w:rsidRPr="004D2561" w:rsidRDefault="007669AF" w:rsidP="001B3E60">
            <w:pPr>
              <w:rPr>
                <w:rFonts w:asciiTheme="minorHAnsi" w:hAnsiTheme="minorHAnsi" w:cstheme="minorHAnsi"/>
              </w:rPr>
            </w:pPr>
            <w:r w:rsidRPr="004D2561">
              <w:rPr>
                <w:rFonts w:asciiTheme="minorHAnsi" w:hAnsiTheme="minorHAnsi" w:cstheme="minorHAnsi"/>
              </w:rPr>
              <w:t>Pays intermédiaires</w:t>
            </w:r>
          </w:p>
        </w:tc>
        <w:tc>
          <w:tcPr>
            <w:tcW w:w="4908" w:type="dxa"/>
          </w:tcPr>
          <w:p w14:paraId="6C5B8F13" w14:textId="77777777" w:rsidR="007669AF" w:rsidRPr="004D2561" w:rsidRDefault="007669AF" w:rsidP="001B3E60">
            <w:pPr>
              <w:jc w:val="both"/>
              <w:rPr>
                <w:rFonts w:asciiTheme="minorHAnsi" w:hAnsiTheme="minorHAnsi" w:cstheme="minorHAnsi"/>
              </w:rPr>
            </w:pPr>
          </w:p>
        </w:tc>
        <w:tc>
          <w:tcPr>
            <w:tcW w:w="2268" w:type="dxa"/>
          </w:tcPr>
          <w:p w14:paraId="0F8CB8B4" w14:textId="77777777" w:rsidR="007669AF" w:rsidRPr="004D2561" w:rsidRDefault="007669AF" w:rsidP="001B3E60">
            <w:pPr>
              <w:jc w:val="both"/>
              <w:rPr>
                <w:rFonts w:asciiTheme="minorHAnsi" w:hAnsiTheme="minorHAnsi" w:cstheme="minorHAnsi"/>
              </w:rPr>
            </w:pPr>
          </w:p>
        </w:tc>
      </w:tr>
      <w:tr w:rsidR="007669AF" w:rsidRPr="004D2561" w14:paraId="031D4DB1" w14:textId="77777777" w:rsidTr="007669AF">
        <w:tc>
          <w:tcPr>
            <w:tcW w:w="1884" w:type="dxa"/>
          </w:tcPr>
          <w:p w14:paraId="4B6E2B9C" w14:textId="6ADB8D12" w:rsidR="007669AF" w:rsidRPr="004D2561" w:rsidRDefault="00D12A52" w:rsidP="001B3E60">
            <w:pPr>
              <w:rPr>
                <w:rFonts w:asciiTheme="minorHAnsi" w:hAnsiTheme="minorHAnsi" w:cstheme="minorHAnsi"/>
              </w:rPr>
            </w:pPr>
            <w:r>
              <w:rPr>
                <w:rFonts w:asciiTheme="minorHAnsi" w:hAnsiTheme="minorHAnsi" w:cstheme="minorHAnsi"/>
              </w:rPr>
              <w:t>Pays du N</w:t>
            </w:r>
            <w:r w:rsidR="001B3E60" w:rsidRPr="004D2561">
              <w:rPr>
                <w:rFonts w:asciiTheme="minorHAnsi" w:hAnsiTheme="minorHAnsi" w:cstheme="minorHAnsi"/>
              </w:rPr>
              <w:t>ord de </w:t>
            </w:r>
            <w:r w:rsidR="007669AF" w:rsidRPr="004D2561">
              <w:rPr>
                <w:rFonts w:asciiTheme="minorHAnsi" w:hAnsiTheme="minorHAnsi" w:cstheme="minorHAnsi"/>
              </w:rPr>
              <w:t>l’Europe</w:t>
            </w:r>
          </w:p>
        </w:tc>
        <w:tc>
          <w:tcPr>
            <w:tcW w:w="4908" w:type="dxa"/>
          </w:tcPr>
          <w:p w14:paraId="5C8BE92B" w14:textId="77777777" w:rsidR="007669AF" w:rsidRPr="004D2561" w:rsidRDefault="007669AF" w:rsidP="001B3E60">
            <w:pPr>
              <w:jc w:val="both"/>
              <w:rPr>
                <w:rFonts w:asciiTheme="minorHAnsi" w:hAnsiTheme="minorHAnsi" w:cstheme="minorHAnsi"/>
              </w:rPr>
            </w:pPr>
          </w:p>
        </w:tc>
        <w:tc>
          <w:tcPr>
            <w:tcW w:w="2268" w:type="dxa"/>
          </w:tcPr>
          <w:p w14:paraId="7E7D0D3B" w14:textId="77777777" w:rsidR="007669AF" w:rsidRPr="004D2561" w:rsidRDefault="007669AF" w:rsidP="001B3E60">
            <w:pPr>
              <w:jc w:val="both"/>
              <w:rPr>
                <w:rFonts w:asciiTheme="minorHAnsi" w:hAnsiTheme="minorHAnsi" w:cstheme="minorHAnsi"/>
              </w:rPr>
            </w:pPr>
          </w:p>
        </w:tc>
      </w:tr>
    </w:tbl>
    <w:p w14:paraId="08550855" w14:textId="77777777" w:rsidR="00872686" w:rsidRPr="001B3E60" w:rsidRDefault="00872686" w:rsidP="001B3E60">
      <w:pPr>
        <w:jc w:val="both"/>
        <w:rPr>
          <w:rFonts w:asciiTheme="minorHAnsi" w:hAnsiTheme="minorHAnsi" w:cstheme="minorHAnsi"/>
        </w:rPr>
      </w:pPr>
    </w:p>
    <w:p w14:paraId="32C96FE7" w14:textId="77777777" w:rsidR="00CD6D6D" w:rsidRPr="001B3E60" w:rsidRDefault="00CD6D6D" w:rsidP="001B3E60">
      <w:pPr>
        <w:jc w:val="both"/>
        <w:rPr>
          <w:rFonts w:asciiTheme="minorHAnsi" w:hAnsiTheme="minorHAnsi" w:cstheme="minorHAnsi"/>
        </w:rPr>
      </w:pPr>
    </w:p>
    <w:p w14:paraId="74D6D266" w14:textId="014374A5" w:rsidR="00CD6D6D" w:rsidRDefault="00CD6D6D" w:rsidP="001B3E60">
      <w:pPr>
        <w:jc w:val="both"/>
        <w:rPr>
          <w:rFonts w:asciiTheme="minorHAnsi" w:hAnsiTheme="minorHAnsi" w:cstheme="minorHAnsi"/>
        </w:rPr>
      </w:pPr>
    </w:p>
    <w:p w14:paraId="13DE9E9C" w14:textId="5B0B6CE2" w:rsidR="004D2561" w:rsidRDefault="004D2561" w:rsidP="001B3E60">
      <w:pPr>
        <w:jc w:val="both"/>
        <w:rPr>
          <w:rFonts w:asciiTheme="minorHAnsi" w:hAnsiTheme="minorHAnsi" w:cstheme="minorHAnsi"/>
        </w:rPr>
      </w:pPr>
    </w:p>
    <w:p w14:paraId="605D1056" w14:textId="077B6689" w:rsidR="004D2561" w:rsidRDefault="004D2561" w:rsidP="001B3E60">
      <w:pPr>
        <w:jc w:val="both"/>
        <w:rPr>
          <w:rFonts w:asciiTheme="minorHAnsi" w:hAnsiTheme="minorHAnsi" w:cstheme="minorHAnsi"/>
        </w:rPr>
      </w:pPr>
    </w:p>
    <w:p w14:paraId="24193EFB" w14:textId="63A73A25" w:rsidR="004D2561" w:rsidRDefault="004D2561" w:rsidP="001B3E60">
      <w:pPr>
        <w:jc w:val="both"/>
        <w:rPr>
          <w:rFonts w:asciiTheme="minorHAnsi" w:hAnsiTheme="minorHAnsi" w:cstheme="minorHAnsi"/>
        </w:rPr>
      </w:pPr>
    </w:p>
    <w:p w14:paraId="216E8A3D" w14:textId="77777777" w:rsidR="004D2561" w:rsidRPr="001B3E60" w:rsidRDefault="004D2561" w:rsidP="001B3E60">
      <w:pPr>
        <w:jc w:val="both"/>
        <w:rPr>
          <w:rFonts w:asciiTheme="minorHAnsi" w:hAnsiTheme="minorHAnsi" w:cstheme="minorHAnsi"/>
        </w:rPr>
      </w:pPr>
    </w:p>
    <w:p w14:paraId="7ACBC165" w14:textId="77777777" w:rsidR="007669AF" w:rsidRPr="001B3E60" w:rsidRDefault="007669AF" w:rsidP="001B3E60">
      <w:pPr>
        <w:jc w:val="both"/>
        <w:rPr>
          <w:rFonts w:asciiTheme="minorHAnsi" w:hAnsiTheme="minorHAnsi" w:cstheme="minorHAnsi"/>
        </w:rPr>
      </w:pPr>
    </w:p>
    <w:p w14:paraId="509A586E" w14:textId="180FD129" w:rsidR="004D2561" w:rsidRPr="004D2561" w:rsidRDefault="004D2561" w:rsidP="004D2561">
      <w:pPr>
        <w:pStyle w:val="Paragraphedeliste"/>
        <w:pBdr>
          <w:top w:val="single" w:sz="4" w:space="1" w:color="auto"/>
          <w:left w:val="single" w:sz="4" w:space="31" w:color="auto"/>
          <w:bottom w:val="single" w:sz="4" w:space="1" w:color="auto"/>
          <w:right w:val="single" w:sz="4" w:space="4" w:color="auto"/>
        </w:pBdr>
        <w:jc w:val="center"/>
        <w:rPr>
          <w:rFonts w:cstheme="minorHAnsi"/>
          <w:b/>
        </w:rPr>
      </w:pPr>
      <w:r>
        <w:rPr>
          <w:rFonts w:cstheme="minorHAnsi"/>
          <w:b/>
        </w:rPr>
        <w:t>Corrigé</w:t>
      </w:r>
    </w:p>
    <w:p w14:paraId="7A39168B" w14:textId="77777777" w:rsidR="004D2561" w:rsidRPr="004D2561" w:rsidRDefault="004D2561" w:rsidP="004D2561">
      <w:pPr>
        <w:jc w:val="both"/>
        <w:rPr>
          <w:rFonts w:cstheme="minorHAnsi"/>
          <w:sz w:val="10"/>
          <w:szCs w:val="10"/>
        </w:rPr>
      </w:pPr>
    </w:p>
    <w:p w14:paraId="203249A7" w14:textId="5C0DF027" w:rsidR="0054693B" w:rsidRPr="004D2561" w:rsidRDefault="004D2561" w:rsidP="004D2561">
      <w:pPr>
        <w:jc w:val="both"/>
        <w:rPr>
          <w:rFonts w:asciiTheme="minorHAnsi" w:hAnsiTheme="minorHAnsi" w:cstheme="minorHAnsi"/>
        </w:rPr>
      </w:pPr>
      <w:r>
        <w:rPr>
          <w:rFonts w:asciiTheme="minorHAnsi" w:hAnsiTheme="minorHAnsi" w:cstheme="minorHAnsi"/>
        </w:rPr>
        <w:t xml:space="preserve">1. </w:t>
      </w:r>
      <w:r w:rsidR="0054693B" w:rsidRPr="004D2561">
        <w:rPr>
          <w:rFonts w:asciiTheme="minorHAnsi" w:hAnsiTheme="minorHAnsi" w:cstheme="minorHAnsi"/>
        </w:rPr>
        <w:t xml:space="preserve">Le coefficient de Gini est une mesure des inégalités, compris entre 0 et 1. Lorsqu’il est élevé, cela signifie que les inégalités sont élevées. </w:t>
      </w:r>
    </w:p>
    <w:p w14:paraId="2294420A" w14:textId="77777777" w:rsidR="004D2561" w:rsidRPr="004D2561" w:rsidRDefault="004D2561" w:rsidP="004D2561">
      <w:pPr>
        <w:jc w:val="both"/>
        <w:rPr>
          <w:rFonts w:asciiTheme="minorHAnsi" w:hAnsiTheme="minorHAnsi" w:cstheme="minorHAnsi"/>
        </w:rPr>
      </w:pPr>
    </w:p>
    <w:p w14:paraId="59108C2A" w14:textId="713340BD" w:rsidR="00A70169" w:rsidRPr="004D2561" w:rsidRDefault="004D2561" w:rsidP="004D2561">
      <w:pPr>
        <w:jc w:val="both"/>
        <w:rPr>
          <w:rFonts w:asciiTheme="minorHAnsi" w:hAnsiTheme="minorHAnsi" w:cstheme="minorHAnsi"/>
        </w:rPr>
      </w:pPr>
      <w:r>
        <w:rPr>
          <w:rFonts w:asciiTheme="minorHAnsi" w:hAnsiTheme="minorHAnsi" w:cstheme="minorHAnsi"/>
        </w:rPr>
        <w:t xml:space="preserve">2. </w:t>
      </w:r>
      <w:r w:rsidR="00A70169" w:rsidRPr="004D2561">
        <w:rPr>
          <w:rFonts w:asciiTheme="minorHAnsi" w:hAnsiTheme="minorHAnsi" w:cstheme="minorHAnsi"/>
        </w:rPr>
        <w:t xml:space="preserve">Depuis les années 2000, les inégalités </w:t>
      </w:r>
      <w:r w:rsidR="00D12A52">
        <w:rPr>
          <w:rFonts w:asciiTheme="minorHAnsi" w:hAnsiTheme="minorHAnsi" w:cstheme="minorHAnsi"/>
        </w:rPr>
        <w:t xml:space="preserve">de revenus </w:t>
      </w:r>
      <w:r w:rsidR="00A70169" w:rsidRPr="004D2561">
        <w:rPr>
          <w:rFonts w:asciiTheme="minorHAnsi" w:hAnsiTheme="minorHAnsi" w:cstheme="minorHAnsi"/>
        </w:rPr>
        <w:t xml:space="preserve">en Europe ont </w:t>
      </w:r>
      <w:r w:rsidR="00A257F5" w:rsidRPr="004D2561">
        <w:rPr>
          <w:rFonts w:asciiTheme="minorHAnsi" w:hAnsiTheme="minorHAnsi" w:cstheme="minorHAnsi"/>
        </w:rPr>
        <w:t xml:space="preserve">globalement </w:t>
      </w:r>
      <w:r w:rsidR="00A70169" w:rsidRPr="004D2561">
        <w:rPr>
          <w:rFonts w:asciiTheme="minorHAnsi" w:hAnsiTheme="minorHAnsi" w:cstheme="minorHAnsi"/>
        </w:rPr>
        <w:t xml:space="preserve">légèrement diminué. </w:t>
      </w:r>
    </w:p>
    <w:p w14:paraId="33776C56" w14:textId="77777777" w:rsidR="004D2561" w:rsidRPr="004D2561" w:rsidRDefault="004D2561" w:rsidP="004D2561">
      <w:pPr>
        <w:jc w:val="both"/>
        <w:rPr>
          <w:rFonts w:asciiTheme="minorHAnsi" w:hAnsiTheme="minorHAnsi" w:cstheme="minorHAnsi"/>
        </w:rPr>
      </w:pPr>
    </w:p>
    <w:p w14:paraId="3F520BB0" w14:textId="15DEEEFF" w:rsidR="007669AF" w:rsidRPr="00D12A52" w:rsidRDefault="004D2561" w:rsidP="004D2561">
      <w:pPr>
        <w:jc w:val="both"/>
        <w:rPr>
          <w:rFonts w:asciiTheme="minorHAnsi" w:hAnsiTheme="minorHAnsi" w:cstheme="minorHAnsi"/>
        </w:rPr>
      </w:pPr>
      <w:r>
        <w:rPr>
          <w:rFonts w:asciiTheme="minorHAnsi" w:hAnsiTheme="minorHAnsi" w:cstheme="minorHAnsi"/>
        </w:rPr>
        <w:t xml:space="preserve">3. </w:t>
      </w:r>
      <w:r w:rsidR="00D12A52">
        <w:rPr>
          <w:rFonts w:asciiTheme="minorHAnsi" w:hAnsiTheme="minorHAnsi" w:cstheme="minorHAnsi"/>
        </w:rPr>
        <w:t>L</w:t>
      </w:r>
      <w:r w:rsidR="007669AF" w:rsidRPr="004D2561">
        <w:rPr>
          <w:rFonts w:asciiTheme="minorHAnsi" w:hAnsiTheme="minorHAnsi" w:cstheme="minorHAnsi"/>
        </w:rPr>
        <w:t xml:space="preserve">es inégalités </w:t>
      </w:r>
      <w:r w:rsidR="00D12A52">
        <w:rPr>
          <w:rFonts w:asciiTheme="minorHAnsi" w:hAnsiTheme="minorHAnsi" w:cstheme="minorHAnsi"/>
        </w:rPr>
        <w:t xml:space="preserve">de revenus </w:t>
      </w:r>
      <w:r w:rsidR="007669AF" w:rsidRPr="004D2561">
        <w:rPr>
          <w:rFonts w:asciiTheme="minorHAnsi" w:hAnsiTheme="minorHAnsi" w:cstheme="minorHAnsi"/>
        </w:rPr>
        <w:t xml:space="preserve">ont </w:t>
      </w:r>
      <w:r w:rsidR="00D12A52">
        <w:rPr>
          <w:rFonts w:asciiTheme="minorHAnsi" w:hAnsiTheme="minorHAnsi" w:cstheme="minorHAnsi"/>
        </w:rPr>
        <w:t xml:space="preserve">par exemple </w:t>
      </w:r>
      <w:r w:rsidR="007669AF" w:rsidRPr="004D2561">
        <w:rPr>
          <w:rFonts w:asciiTheme="minorHAnsi" w:hAnsiTheme="minorHAnsi" w:cstheme="minorHAnsi"/>
        </w:rPr>
        <w:t xml:space="preserve">diminué depuis les années 2000 en Pologne, en </w:t>
      </w:r>
      <w:r w:rsidR="007669AF" w:rsidRPr="00D12A52">
        <w:rPr>
          <w:rFonts w:asciiTheme="minorHAnsi" w:hAnsiTheme="minorHAnsi" w:cstheme="minorHAnsi"/>
        </w:rPr>
        <w:t xml:space="preserve">Roumanie et aux Pays-Bas. Elles ont augmenté en Suède, en Espagne et au Danemark </w:t>
      </w:r>
    </w:p>
    <w:p w14:paraId="04AB397A" w14:textId="77777777" w:rsidR="004D2561" w:rsidRDefault="004D2561" w:rsidP="004D2561">
      <w:pPr>
        <w:jc w:val="both"/>
        <w:rPr>
          <w:rFonts w:cstheme="minorHAnsi"/>
        </w:rPr>
      </w:pPr>
    </w:p>
    <w:p w14:paraId="49EE3604" w14:textId="050EC456" w:rsidR="007669AF" w:rsidRPr="001B3E60" w:rsidRDefault="004D2561" w:rsidP="001B3E60">
      <w:pPr>
        <w:jc w:val="both"/>
        <w:rPr>
          <w:rFonts w:asciiTheme="minorHAnsi" w:hAnsiTheme="minorHAnsi" w:cstheme="minorHAnsi"/>
        </w:rPr>
      </w:pPr>
      <w:r>
        <w:rPr>
          <w:rFonts w:asciiTheme="minorHAnsi" w:hAnsiTheme="minorHAnsi" w:cstheme="minorHAnsi"/>
        </w:rPr>
        <w:t xml:space="preserve">4. </w:t>
      </w:r>
    </w:p>
    <w:tbl>
      <w:tblPr>
        <w:tblStyle w:val="Grilledutableau"/>
        <w:tblW w:w="9060" w:type="dxa"/>
        <w:tblLook w:val="04A0" w:firstRow="1" w:lastRow="0" w:firstColumn="1" w:lastColumn="0" w:noHBand="0" w:noVBand="1"/>
      </w:tblPr>
      <w:tblGrid>
        <w:gridCol w:w="1884"/>
        <w:gridCol w:w="4908"/>
        <w:gridCol w:w="2268"/>
      </w:tblGrid>
      <w:tr w:rsidR="007669AF" w:rsidRPr="001B3E60" w14:paraId="2CAFAEEF" w14:textId="77777777" w:rsidTr="007669AF">
        <w:tc>
          <w:tcPr>
            <w:tcW w:w="1884" w:type="dxa"/>
            <w:vAlign w:val="center"/>
          </w:tcPr>
          <w:p w14:paraId="529B1317" w14:textId="77777777" w:rsidR="007669AF" w:rsidRPr="001B3E60" w:rsidRDefault="007669AF" w:rsidP="001B3E60">
            <w:pPr>
              <w:jc w:val="center"/>
              <w:rPr>
                <w:rFonts w:asciiTheme="minorHAnsi" w:hAnsiTheme="minorHAnsi" w:cstheme="minorHAnsi"/>
                <w:b/>
              </w:rPr>
            </w:pPr>
            <w:r w:rsidRPr="001B3E60">
              <w:rPr>
                <w:rFonts w:asciiTheme="minorHAnsi" w:hAnsiTheme="minorHAnsi" w:cstheme="minorHAnsi"/>
                <w:b/>
              </w:rPr>
              <w:t>Groupe de pays</w:t>
            </w:r>
          </w:p>
        </w:tc>
        <w:tc>
          <w:tcPr>
            <w:tcW w:w="4908" w:type="dxa"/>
            <w:vAlign w:val="center"/>
          </w:tcPr>
          <w:p w14:paraId="223838D1" w14:textId="77777777" w:rsidR="007669AF" w:rsidRPr="001B3E60" w:rsidRDefault="007669AF" w:rsidP="001B3E60">
            <w:pPr>
              <w:jc w:val="center"/>
              <w:rPr>
                <w:rFonts w:asciiTheme="minorHAnsi" w:hAnsiTheme="minorHAnsi" w:cstheme="minorHAnsi"/>
                <w:b/>
              </w:rPr>
            </w:pPr>
            <w:r w:rsidRPr="001B3E60">
              <w:rPr>
                <w:rFonts w:asciiTheme="minorHAnsi" w:hAnsiTheme="minorHAnsi" w:cstheme="minorHAnsi"/>
                <w:b/>
              </w:rPr>
              <w:t>Exemples de pays</w:t>
            </w:r>
          </w:p>
        </w:tc>
        <w:tc>
          <w:tcPr>
            <w:tcW w:w="2268" w:type="dxa"/>
            <w:vAlign w:val="center"/>
          </w:tcPr>
          <w:p w14:paraId="61E86D22" w14:textId="77777777" w:rsidR="007669AF" w:rsidRPr="001B3E60" w:rsidRDefault="007669AF" w:rsidP="001B3E60">
            <w:pPr>
              <w:jc w:val="center"/>
              <w:rPr>
                <w:rFonts w:asciiTheme="minorHAnsi" w:hAnsiTheme="minorHAnsi" w:cstheme="minorHAnsi"/>
                <w:b/>
              </w:rPr>
            </w:pPr>
            <w:r w:rsidRPr="001B3E60">
              <w:rPr>
                <w:rFonts w:asciiTheme="minorHAnsi" w:hAnsiTheme="minorHAnsi" w:cstheme="minorHAnsi"/>
                <w:b/>
              </w:rPr>
              <w:t>Degré des inégalités</w:t>
            </w:r>
          </w:p>
        </w:tc>
      </w:tr>
      <w:tr w:rsidR="007669AF" w:rsidRPr="001B3E60" w14:paraId="2CFCB375" w14:textId="77777777" w:rsidTr="007669AF">
        <w:tc>
          <w:tcPr>
            <w:tcW w:w="1884" w:type="dxa"/>
            <w:vAlign w:val="center"/>
          </w:tcPr>
          <w:p w14:paraId="6AD6CAC8" w14:textId="0BBBE19B" w:rsidR="007669AF" w:rsidRPr="001B3E60" w:rsidRDefault="00D12A52" w:rsidP="001B3E60">
            <w:pPr>
              <w:rPr>
                <w:rFonts w:asciiTheme="minorHAnsi" w:hAnsiTheme="minorHAnsi" w:cstheme="minorHAnsi"/>
              </w:rPr>
            </w:pPr>
            <w:r>
              <w:rPr>
                <w:rFonts w:asciiTheme="minorHAnsi" w:hAnsiTheme="minorHAnsi" w:cstheme="minorHAnsi"/>
              </w:rPr>
              <w:t>Pays du S</w:t>
            </w:r>
            <w:r w:rsidR="001B3E60">
              <w:rPr>
                <w:rFonts w:asciiTheme="minorHAnsi" w:hAnsiTheme="minorHAnsi" w:cstheme="minorHAnsi"/>
              </w:rPr>
              <w:t>ud de </w:t>
            </w:r>
            <w:r w:rsidR="007669AF" w:rsidRPr="001B3E60">
              <w:rPr>
                <w:rFonts w:asciiTheme="minorHAnsi" w:hAnsiTheme="minorHAnsi" w:cstheme="minorHAnsi"/>
              </w:rPr>
              <w:t>l’Europe</w:t>
            </w:r>
          </w:p>
        </w:tc>
        <w:tc>
          <w:tcPr>
            <w:tcW w:w="4908" w:type="dxa"/>
            <w:vAlign w:val="center"/>
          </w:tcPr>
          <w:p w14:paraId="4D2E5131" w14:textId="6F49B5E1" w:rsidR="007669AF" w:rsidRPr="001B3E60" w:rsidRDefault="007669AF" w:rsidP="001B3E60">
            <w:pPr>
              <w:rPr>
                <w:rFonts w:asciiTheme="minorHAnsi" w:hAnsiTheme="minorHAnsi" w:cstheme="minorHAnsi"/>
              </w:rPr>
            </w:pPr>
            <w:r w:rsidRPr="001B3E60">
              <w:rPr>
                <w:rFonts w:asciiTheme="minorHAnsi" w:hAnsiTheme="minorHAnsi" w:cstheme="minorHAnsi"/>
              </w:rPr>
              <w:t>Espagne, Portugal, Grèce</w:t>
            </w:r>
          </w:p>
        </w:tc>
        <w:tc>
          <w:tcPr>
            <w:tcW w:w="2268" w:type="dxa"/>
            <w:vAlign w:val="center"/>
          </w:tcPr>
          <w:p w14:paraId="04EDAC6E" w14:textId="1F9CCBF0" w:rsidR="007669AF" w:rsidRPr="001B3E60" w:rsidRDefault="007669AF" w:rsidP="001B3E60">
            <w:pPr>
              <w:jc w:val="center"/>
              <w:rPr>
                <w:rFonts w:asciiTheme="minorHAnsi" w:hAnsiTheme="minorHAnsi" w:cstheme="minorHAnsi"/>
              </w:rPr>
            </w:pPr>
            <w:r w:rsidRPr="001B3E60">
              <w:rPr>
                <w:rFonts w:asciiTheme="minorHAnsi" w:hAnsiTheme="minorHAnsi" w:cstheme="minorHAnsi"/>
              </w:rPr>
              <w:t>Haut</w:t>
            </w:r>
          </w:p>
        </w:tc>
      </w:tr>
      <w:tr w:rsidR="007669AF" w:rsidRPr="001B3E60" w14:paraId="6ED0599E" w14:textId="77777777" w:rsidTr="007669AF">
        <w:tc>
          <w:tcPr>
            <w:tcW w:w="1884" w:type="dxa"/>
            <w:vAlign w:val="center"/>
          </w:tcPr>
          <w:p w14:paraId="757D4B85" w14:textId="77777777" w:rsidR="007669AF" w:rsidRPr="001B3E60" w:rsidRDefault="007669AF" w:rsidP="001B3E60">
            <w:pPr>
              <w:rPr>
                <w:rFonts w:asciiTheme="minorHAnsi" w:hAnsiTheme="minorHAnsi" w:cstheme="minorHAnsi"/>
              </w:rPr>
            </w:pPr>
            <w:r w:rsidRPr="001B3E60">
              <w:rPr>
                <w:rFonts w:asciiTheme="minorHAnsi" w:hAnsiTheme="minorHAnsi" w:cstheme="minorHAnsi"/>
              </w:rPr>
              <w:t>Pays intermédiaires</w:t>
            </w:r>
          </w:p>
        </w:tc>
        <w:tc>
          <w:tcPr>
            <w:tcW w:w="4908" w:type="dxa"/>
            <w:vAlign w:val="center"/>
          </w:tcPr>
          <w:p w14:paraId="62C71A1C" w14:textId="4E049309" w:rsidR="007669AF" w:rsidRPr="001B3E60" w:rsidRDefault="007669AF" w:rsidP="001B3E60">
            <w:pPr>
              <w:rPr>
                <w:rFonts w:asciiTheme="minorHAnsi" w:hAnsiTheme="minorHAnsi" w:cstheme="minorHAnsi"/>
              </w:rPr>
            </w:pPr>
            <w:r w:rsidRPr="001B3E60">
              <w:rPr>
                <w:rFonts w:asciiTheme="minorHAnsi" w:hAnsiTheme="minorHAnsi" w:cstheme="minorHAnsi"/>
              </w:rPr>
              <w:t>France, Allemagne</w:t>
            </w:r>
          </w:p>
        </w:tc>
        <w:tc>
          <w:tcPr>
            <w:tcW w:w="2268" w:type="dxa"/>
            <w:vAlign w:val="center"/>
          </w:tcPr>
          <w:p w14:paraId="0B419A7D" w14:textId="40D6303A" w:rsidR="007669AF" w:rsidRPr="001B3E60" w:rsidRDefault="007669AF" w:rsidP="001B3E60">
            <w:pPr>
              <w:jc w:val="center"/>
              <w:rPr>
                <w:rFonts w:asciiTheme="minorHAnsi" w:hAnsiTheme="minorHAnsi" w:cstheme="minorHAnsi"/>
              </w:rPr>
            </w:pPr>
            <w:r w:rsidRPr="001B3E60">
              <w:rPr>
                <w:rFonts w:asciiTheme="minorHAnsi" w:hAnsiTheme="minorHAnsi" w:cstheme="minorHAnsi"/>
              </w:rPr>
              <w:t>Moyen</w:t>
            </w:r>
          </w:p>
        </w:tc>
      </w:tr>
      <w:tr w:rsidR="007669AF" w:rsidRPr="001B3E60" w14:paraId="30A38C1F" w14:textId="77777777" w:rsidTr="007669AF">
        <w:tc>
          <w:tcPr>
            <w:tcW w:w="1884" w:type="dxa"/>
            <w:vAlign w:val="center"/>
          </w:tcPr>
          <w:p w14:paraId="4A0AE2AE" w14:textId="6926493A" w:rsidR="007669AF" w:rsidRPr="001B3E60" w:rsidRDefault="00D12A52" w:rsidP="001B3E60">
            <w:pPr>
              <w:rPr>
                <w:rFonts w:asciiTheme="minorHAnsi" w:hAnsiTheme="minorHAnsi" w:cstheme="minorHAnsi"/>
              </w:rPr>
            </w:pPr>
            <w:r>
              <w:rPr>
                <w:rFonts w:asciiTheme="minorHAnsi" w:hAnsiTheme="minorHAnsi" w:cstheme="minorHAnsi"/>
              </w:rPr>
              <w:t>Pays du N</w:t>
            </w:r>
            <w:r w:rsidR="001B3E60">
              <w:rPr>
                <w:rFonts w:asciiTheme="minorHAnsi" w:hAnsiTheme="minorHAnsi" w:cstheme="minorHAnsi"/>
              </w:rPr>
              <w:t>ord de </w:t>
            </w:r>
            <w:r w:rsidR="007669AF" w:rsidRPr="001B3E60">
              <w:rPr>
                <w:rFonts w:asciiTheme="minorHAnsi" w:hAnsiTheme="minorHAnsi" w:cstheme="minorHAnsi"/>
              </w:rPr>
              <w:t>l’Europe</w:t>
            </w:r>
          </w:p>
        </w:tc>
        <w:tc>
          <w:tcPr>
            <w:tcW w:w="4908" w:type="dxa"/>
            <w:vAlign w:val="center"/>
          </w:tcPr>
          <w:p w14:paraId="1EA716CA" w14:textId="720FC44E" w:rsidR="007669AF" w:rsidRPr="001B3E60" w:rsidRDefault="007669AF" w:rsidP="001B3E60">
            <w:pPr>
              <w:rPr>
                <w:rFonts w:asciiTheme="minorHAnsi" w:hAnsiTheme="minorHAnsi" w:cstheme="minorHAnsi"/>
              </w:rPr>
            </w:pPr>
            <w:r w:rsidRPr="001B3E60">
              <w:rPr>
                <w:rFonts w:asciiTheme="minorHAnsi" w:hAnsiTheme="minorHAnsi" w:cstheme="minorHAnsi"/>
              </w:rPr>
              <w:t>Finlande, Norvège, Belgique, Pays-Bas</w:t>
            </w:r>
          </w:p>
        </w:tc>
        <w:tc>
          <w:tcPr>
            <w:tcW w:w="2268" w:type="dxa"/>
            <w:vAlign w:val="center"/>
          </w:tcPr>
          <w:p w14:paraId="0B21F43D" w14:textId="61EACA89" w:rsidR="007669AF" w:rsidRPr="001B3E60" w:rsidRDefault="007669AF" w:rsidP="001B3E60">
            <w:pPr>
              <w:jc w:val="center"/>
              <w:rPr>
                <w:rFonts w:asciiTheme="minorHAnsi" w:hAnsiTheme="minorHAnsi" w:cstheme="minorHAnsi"/>
              </w:rPr>
            </w:pPr>
            <w:r w:rsidRPr="001B3E60">
              <w:rPr>
                <w:rFonts w:asciiTheme="minorHAnsi" w:hAnsiTheme="minorHAnsi" w:cstheme="minorHAnsi"/>
              </w:rPr>
              <w:t>Faible</w:t>
            </w:r>
          </w:p>
        </w:tc>
      </w:tr>
    </w:tbl>
    <w:p w14:paraId="0D435170" w14:textId="77777777" w:rsidR="007669AF" w:rsidRPr="001B3E60" w:rsidRDefault="007669AF" w:rsidP="001B3E60">
      <w:pPr>
        <w:jc w:val="both"/>
        <w:rPr>
          <w:rFonts w:asciiTheme="minorHAnsi" w:hAnsiTheme="minorHAnsi" w:cstheme="minorHAnsi"/>
        </w:rPr>
      </w:pPr>
    </w:p>
    <w:p w14:paraId="78ACB962" w14:textId="77777777" w:rsidR="008963EC" w:rsidRPr="001B3E60" w:rsidRDefault="008963EC" w:rsidP="001B3E60">
      <w:pPr>
        <w:widowControl w:val="0"/>
        <w:autoSpaceDE w:val="0"/>
        <w:autoSpaceDN w:val="0"/>
        <w:adjustRightInd w:val="0"/>
        <w:jc w:val="both"/>
        <w:rPr>
          <w:rFonts w:asciiTheme="minorHAnsi" w:hAnsiTheme="minorHAnsi" w:cstheme="minorHAnsi"/>
          <w:b/>
        </w:rPr>
      </w:pPr>
    </w:p>
    <w:p w14:paraId="08EB4506" w14:textId="5C65F7A1" w:rsidR="00C422DF" w:rsidRPr="001B3E60" w:rsidRDefault="00C422DF" w:rsidP="001B3E60">
      <w:pPr>
        <w:widowControl w:val="0"/>
        <w:autoSpaceDE w:val="0"/>
        <w:autoSpaceDN w:val="0"/>
        <w:adjustRightInd w:val="0"/>
        <w:jc w:val="both"/>
        <w:rPr>
          <w:rFonts w:asciiTheme="minorHAnsi" w:hAnsiTheme="minorHAnsi" w:cstheme="minorHAnsi"/>
          <w:b/>
        </w:rPr>
      </w:pPr>
    </w:p>
    <w:sectPr w:rsidR="00C422DF" w:rsidRPr="001B3E60" w:rsidSect="00F11F16">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1D6DA" w14:textId="77777777" w:rsidR="00802854" w:rsidRDefault="00802854" w:rsidP="001B3E60">
      <w:r>
        <w:separator/>
      </w:r>
    </w:p>
  </w:endnote>
  <w:endnote w:type="continuationSeparator" w:id="0">
    <w:p w14:paraId="6088B7BD" w14:textId="77777777" w:rsidR="00802854" w:rsidRDefault="00802854" w:rsidP="001B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676564"/>
      <w:docPartObj>
        <w:docPartGallery w:val="Page Numbers (Bottom of Page)"/>
        <w:docPartUnique/>
      </w:docPartObj>
    </w:sdtPr>
    <w:sdtEndPr/>
    <w:sdtContent>
      <w:p w14:paraId="5B3C3E9A" w14:textId="3714A9AA" w:rsidR="001B3E60" w:rsidRDefault="001B3E60">
        <w:pPr>
          <w:pStyle w:val="Pieddepage"/>
          <w:jc w:val="right"/>
        </w:pPr>
        <w:r>
          <w:fldChar w:fldCharType="begin"/>
        </w:r>
        <w:r>
          <w:instrText>PAGE   \* MERGEFORMAT</w:instrText>
        </w:r>
        <w:r>
          <w:fldChar w:fldCharType="separate"/>
        </w:r>
        <w:r w:rsidR="009609E2">
          <w:rPr>
            <w:noProof/>
          </w:rPr>
          <w:t>3</w:t>
        </w:r>
        <w:r>
          <w:fldChar w:fldCharType="end"/>
        </w:r>
      </w:p>
    </w:sdtContent>
  </w:sdt>
  <w:p w14:paraId="565788AC" w14:textId="77777777" w:rsidR="001B3E60" w:rsidRDefault="001B3E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AE5AC" w14:textId="77777777" w:rsidR="00802854" w:rsidRDefault="00802854" w:rsidP="001B3E60">
      <w:r>
        <w:separator/>
      </w:r>
    </w:p>
  </w:footnote>
  <w:footnote w:type="continuationSeparator" w:id="0">
    <w:p w14:paraId="1A8BA829" w14:textId="77777777" w:rsidR="00802854" w:rsidRDefault="00802854" w:rsidP="001B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88B6" w14:textId="77777777" w:rsidR="001B3E60" w:rsidRPr="001B3E60" w:rsidRDefault="001B3E60" w:rsidP="001B3E60">
    <w:pPr>
      <w:pStyle w:val="En-tte"/>
      <w:jc w:val="right"/>
      <w:rPr>
        <w:rFonts w:asciiTheme="minorHAnsi" w:hAnsiTheme="minorHAnsi" w:cstheme="minorHAnsi"/>
      </w:rPr>
    </w:pPr>
    <w:r w:rsidRPr="001B3E60">
      <w:rPr>
        <w:rFonts w:asciiTheme="minorHAnsi" w:hAnsiTheme="minorHAnsi" w:cstheme="minorHAnsi"/>
      </w:rPr>
      <w:ptab w:relativeTo="margin" w:alignment="center" w:leader="none"/>
    </w:r>
    <w:r w:rsidRPr="001B3E60">
      <w:rPr>
        <w:rFonts w:asciiTheme="minorHAnsi" w:hAnsiTheme="minorHAnsi" w:cstheme="minorHAnsi"/>
      </w:rPr>
      <w:ptab w:relativeTo="margin" w:alignment="right" w:leader="none"/>
    </w:r>
    <w:r w:rsidRPr="001B3E60">
      <w:rPr>
        <w:rFonts w:asciiTheme="minorHAnsi" w:hAnsiTheme="minorHAnsi" w:cstheme="minorHAnsi"/>
      </w:rPr>
      <w:t>Actu SES © Hatier – Charlène Friang</w:t>
    </w:r>
  </w:p>
  <w:p w14:paraId="0533F1AB" w14:textId="631C25B6" w:rsidR="001B3E60" w:rsidRPr="001B3E60" w:rsidRDefault="001B3E60" w:rsidP="001B3E60">
    <w:pPr>
      <w:pStyle w:val="En-tte"/>
      <w:jc w:val="right"/>
      <w:rPr>
        <w:rFonts w:asciiTheme="minorHAnsi" w:hAnsiTheme="minorHAnsi" w:cstheme="minorHAnsi"/>
      </w:rPr>
    </w:pPr>
    <w:r w:rsidRPr="001B3E60">
      <w:rPr>
        <w:rFonts w:asciiTheme="minorHAnsi" w:hAnsiTheme="minorHAnsi" w:cstheme="minorHAnsi"/>
      </w:rPr>
      <w:t>Fiche d’exploitation pédagogique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3A9"/>
    <w:multiLevelType w:val="hybridMultilevel"/>
    <w:tmpl w:val="D31A12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0924F1"/>
    <w:multiLevelType w:val="hybridMultilevel"/>
    <w:tmpl w:val="0562C1BC"/>
    <w:lvl w:ilvl="0" w:tplc="DA5A4A4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855CD8"/>
    <w:multiLevelType w:val="hybridMultilevel"/>
    <w:tmpl w:val="D8585D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6FE6DC0"/>
    <w:multiLevelType w:val="hybridMultilevel"/>
    <w:tmpl w:val="754A16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B183DC8"/>
    <w:multiLevelType w:val="hybridMultilevel"/>
    <w:tmpl w:val="1FFA39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8077945"/>
    <w:multiLevelType w:val="hybridMultilevel"/>
    <w:tmpl w:val="754A16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9620413"/>
    <w:multiLevelType w:val="hybridMultilevel"/>
    <w:tmpl w:val="EA22CCE8"/>
    <w:lvl w:ilvl="0" w:tplc="7D8CD84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1BC6EB9"/>
    <w:multiLevelType w:val="hybridMultilevel"/>
    <w:tmpl w:val="8FECF55E"/>
    <w:lvl w:ilvl="0" w:tplc="F25A04B2">
      <w:start w:val="1"/>
      <w:numFmt w:val="decimal"/>
      <w:lvlText w:val="%1."/>
      <w:lvlJc w:val="left"/>
      <w:pPr>
        <w:ind w:left="720" w:hanging="360"/>
      </w:pPr>
      <w:rPr>
        <w:rFonts w:eastAsiaTheme="maj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CA3172C"/>
    <w:multiLevelType w:val="hybridMultilevel"/>
    <w:tmpl w:val="EA405AA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93E420F"/>
    <w:multiLevelType w:val="hybridMultilevel"/>
    <w:tmpl w:val="EA405AA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CDF071E"/>
    <w:multiLevelType w:val="hybridMultilevel"/>
    <w:tmpl w:val="225204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CBD3091"/>
    <w:multiLevelType w:val="hybridMultilevel"/>
    <w:tmpl w:val="E362C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0"/>
  </w:num>
  <w:num w:numId="6">
    <w:abstractNumId w:val="6"/>
  </w:num>
  <w:num w:numId="7">
    <w:abstractNumId w:val="1"/>
  </w:num>
  <w:num w:numId="8">
    <w:abstractNumId w:val="4"/>
  </w:num>
  <w:num w:numId="9">
    <w:abstractNumId w:val="11"/>
  </w:num>
  <w:num w:numId="10">
    <w:abstractNumId w:val="9"/>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5D8"/>
    <w:rsid w:val="000740D0"/>
    <w:rsid w:val="00150D6D"/>
    <w:rsid w:val="001A7935"/>
    <w:rsid w:val="001B3E60"/>
    <w:rsid w:val="001C4DCC"/>
    <w:rsid w:val="00255BA0"/>
    <w:rsid w:val="00265274"/>
    <w:rsid w:val="00267919"/>
    <w:rsid w:val="002A2190"/>
    <w:rsid w:val="002F05D8"/>
    <w:rsid w:val="00300007"/>
    <w:rsid w:val="003529BC"/>
    <w:rsid w:val="00402362"/>
    <w:rsid w:val="0043292B"/>
    <w:rsid w:val="004927F2"/>
    <w:rsid w:val="004B3649"/>
    <w:rsid w:val="004D2561"/>
    <w:rsid w:val="0054693B"/>
    <w:rsid w:val="005A6F99"/>
    <w:rsid w:val="00610AF2"/>
    <w:rsid w:val="00621EEC"/>
    <w:rsid w:val="006432CC"/>
    <w:rsid w:val="006665CF"/>
    <w:rsid w:val="00692568"/>
    <w:rsid w:val="006F2CDF"/>
    <w:rsid w:val="0071224D"/>
    <w:rsid w:val="007319D1"/>
    <w:rsid w:val="007669AF"/>
    <w:rsid w:val="00802854"/>
    <w:rsid w:val="00845ECB"/>
    <w:rsid w:val="00872686"/>
    <w:rsid w:val="008963EC"/>
    <w:rsid w:val="008E7619"/>
    <w:rsid w:val="00903280"/>
    <w:rsid w:val="009220AD"/>
    <w:rsid w:val="00947A82"/>
    <w:rsid w:val="00954C5D"/>
    <w:rsid w:val="009609E2"/>
    <w:rsid w:val="009C5C15"/>
    <w:rsid w:val="009F575B"/>
    <w:rsid w:val="00A257F5"/>
    <w:rsid w:val="00A52391"/>
    <w:rsid w:val="00A70169"/>
    <w:rsid w:val="00B36110"/>
    <w:rsid w:val="00BB03D3"/>
    <w:rsid w:val="00C2039E"/>
    <w:rsid w:val="00C422DF"/>
    <w:rsid w:val="00C705F9"/>
    <w:rsid w:val="00C87AAD"/>
    <w:rsid w:val="00C97C7A"/>
    <w:rsid w:val="00CD6D6D"/>
    <w:rsid w:val="00CE7580"/>
    <w:rsid w:val="00CF6C3F"/>
    <w:rsid w:val="00D12A52"/>
    <w:rsid w:val="00E02172"/>
    <w:rsid w:val="00E73E88"/>
    <w:rsid w:val="00EB2ED6"/>
    <w:rsid w:val="00F11F16"/>
    <w:rsid w:val="00F3325D"/>
    <w:rsid w:val="00FC15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1B4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69AF"/>
    <w:rPr>
      <w:rFonts w:ascii="Times New Roman" w:hAnsi="Times New Roman" w:cs="Times New Roman"/>
      <w:lang w:eastAsia="fr-FR"/>
    </w:rPr>
  </w:style>
  <w:style w:type="paragraph" w:styleId="Titre2">
    <w:name w:val="heading 2"/>
    <w:basedOn w:val="Normal"/>
    <w:next w:val="Normal"/>
    <w:link w:val="Titre2Car"/>
    <w:uiPriority w:val="9"/>
    <w:semiHidden/>
    <w:unhideWhenUsed/>
    <w:qFormat/>
    <w:rsid w:val="00265274"/>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Titre4">
    <w:name w:val="heading 4"/>
    <w:basedOn w:val="Normal"/>
    <w:next w:val="Normal"/>
    <w:link w:val="Titre4Car"/>
    <w:uiPriority w:val="9"/>
    <w:semiHidden/>
    <w:unhideWhenUsed/>
    <w:qFormat/>
    <w:rsid w:val="00C705F9"/>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F05D8"/>
    <w:rPr>
      <w:color w:val="0563C1" w:themeColor="hyperlink"/>
      <w:u w:val="single"/>
    </w:rPr>
  </w:style>
  <w:style w:type="paragraph" w:styleId="Paragraphedeliste">
    <w:name w:val="List Paragraph"/>
    <w:basedOn w:val="Normal"/>
    <w:uiPriority w:val="34"/>
    <w:qFormat/>
    <w:rsid w:val="002F05D8"/>
    <w:pPr>
      <w:ind w:left="720"/>
      <w:contextualSpacing/>
    </w:pPr>
    <w:rPr>
      <w:rFonts w:asciiTheme="minorHAnsi" w:hAnsiTheme="minorHAnsi" w:cstheme="minorBidi"/>
      <w:lang w:eastAsia="en-US"/>
    </w:rPr>
  </w:style>
  <w:style w:type="character" w:styleId="Lienhypertextesuivivisit">
    <w:name w:val="FollowedHyperlink"/>
    <w:basedOn w:val="Policepardfaut"/>
    <w:uiPriority w:val="99"/>
    <w:semiHidden/>
    <w:unhideWhenUsed/>
    <w:rsid w:val="00E73E88"/>
    <w:rPr>
      <w:color w:val="954F72" w:themeColor="followedHyperlink"/>
      <w:u w:val="single"/>
    </w:rPr>
  </w:style>
  <w:style w:type="paragraph" w:customStyle="1" w:styleId="paragraphe-chapeau">
    <w:name w:val="paragraphe-chapeau"/>
    <w:basedOn w:val="Normal"/>
    <w:rsid w:val="00267919"/>
    <w:pPr>
      <w:spacing w:before="100" w:beforeAutospacing="1" w:after="100" w:afterAutospacing="1"/>
    </w:pPr>
  </w:style>
  <w:style w:type="table" w:styleId="Grilledutableau">
    <w:name w:val="Table Grid"/>
    <w:basedOn w:val="TableauNormal"/>
    <w:uiPriority w:val="39"/>
    <w:rsid w:val="00E02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265274"/>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semiHidden/>
    <w:rsid w:val="00C705F9"/>
    <w:rPr>
      <w:rFonts w:asciiTheme="majorHAnsi" w:eastAsiaTheme="majorEastAsia" w:hAnsiTheme="majorHAnsi" w:cstheme="majorBidi"/>
      <w:i/>
      <w:iCs/>
      <w:color w:val="2F5496" w:themeColor="accent1" w:themeShade="BF"/>
    </w:rPr>
  </w:style>
  <w:style w:type="paragraph" w:styleId="En-tte">
    <w:name w:val="header"/>
    <w:basedOn w:val="Normal"/>
    <w:link w:val="En-tteCar"/>
    <w:uiPriority w:val="99"/>
    <w:unhideWhenUsed/>
    <w:rsid w:val="001B3E60"/>
    <w:pPr>
      <w:tabs>
        <w:tab w:val="center" w:pos="4536"/>
        <w:tab w:val="right" w:pos="9072"/>
      </w:tabs>
    </w:pPr>
  </w:style>
  <w:style w:type="character" w:customStyle="1" w:styleId="En-tteCar">
    <w:name w:val="En-tête Car"/>
    <w:basedOn w:val="Policepardfaut"/>
    <w:link w:val="En-tte"/>
    <w:uiPriority w:val="99"/>
    <w:rsid w:val="001B3E60"/>
    <w:rPr>
      <w:rFonts w:ascii="Times New Roman" w:hAnsi="Times New Roman" w:cs="Times New Roman"/>
      <w:lang w:eastAsia="fr-FR"/>
    </w:rPr>
  </w:style>
  <w:style w:type="paragraph" w:styleId="Pieddepage">
    <w:name w:val="footer"/>
    <w:basedOn w:val="Normal"/>
    <w:link w:val="PieddepageCar"/>
    <w:uiPriority w:val="99"/>
    <w:unhideWhenUsed/>
    <w:rsid w:val="001B3E60"/>
    <w:pPr>
      <w:tabs>
        <w:tab w:val="center" w:pos="4536"/>
        <w:tab w:val="right" w:pos="9072"/>
      </w:tabs>
    </w:pPr>
  </w:style>
  <w:style w:type="character" w:customStyle="1" w:styleId="PieddepageCar">
    <w:name w:val="Pied de page Car"/>
    <w:basedOn w:val="Policepardfaut"/>
    <w:link w:val="Pieddepage"/>
    <w:uiPriority w:val="99"/>
    <w:rsid w:val="001B3E60"/>
    <w:rPr>
      <w:rFonts w:ascii="Times New Roman" w:hAnsi="Times New Roman" w:cs="Times New Roman"/>
      <w:lang w:eastAsia="fr-FR"/>
    </w:rPr>
  </w:style>
  <w:style w:type="paragraph" w:styleId="NormalWeb">
    <w:name w:val="Normal (Web)"/>
    <w:basedOn w:val="Normal"/>
    <w:uiPriority w:val="99"/>
    <w:semiHidden/>
    <w:unhideWhenUsed/>
    <w:rsid w:val="001B3E60"/>
    <w:pPr>
      <w:spacing w:before="100" w:beforeAutospacing="1" w:after="100" w:afterAutospacing="1"/>
    </w:pPr>
    <w:rPr>
      <w:rFonts w:eastAsia="Times New Roman"/>
    </w:rPr>
  </w:style>
  <w:style w:type="character" w:customStyle="1" w:styleId="tagmc">
    <w:name w:val="tagmc"/>
    <w:basedOn w:val="Policepardfaut"/>
    <w:rsid w:val="001B3E60"/>
  </w:style>
  <w:style w:type="character" w:styleId="lev">
    <w:name w:val="Strong"/>
    <w:basedOn w:val="Policepardfaut"/>
    <w:uiPriority w:val="22"/>
    <w:qFormat/>
    <w:rsid w:val="001B3E60"/>
    <w:rPr>
      <w:b/>
      <w:bCs/>
    </w:rPr>
  </w:style>
  <w:style w:type="character" w:customStyle="1" w:styleId="spipnoteref">
    <w:name w:val="spip_note_ref"/>
    <w:basedOn w:val="Policepardfaut"/>
    <w:rsid w:val="001B3E60"/>
  </w:style>
  <w:style w:type="character" w:styleId="Mentionnonrsolue">
    <w:name w:val="Unresolved Mention"/>
    <w:basedOn w:val="Policepardfaut"/>
    <w:uiPriority w:val="99"/>
    <w:rsid w:val="001B3E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687499">
      <w:bodyDiv w:val="1"/>
      <w:marLeft w:val="0"/>
      <w:marRight w:val="0"/>
      <w:marTop w:val="0"/>
      <w:marBottom w:val="0"/>
      <w:divBdr>
        <w:top w:val="none" w:sz="0" w:space="0" w:color="auto"/>
        <w:left w:val="none" w:sz="0" w:space="0" w:color="auto"/>
        <w:bottom w:val="none" w:sz="0" w:space="0" w:color="auto"/>
        <w:right w:val="none" w:sz="0" w:space="0" w:color="auto"/>
      </w:divBdr>
    </w:div>
    <w:div w:id="243539884">
      <w:bodyDiv w:val="1"/>
      <w:marLeft w:val="0"/>
      <w:marRight w:val="0"/>
      <w:marTop w:val="0"/>
      <w:marBottom w:val="0"/>
      <w:divBdr>
        <w:top w:val="none" w:sz="0" w:space="0" w:color="auto"/>
        <w:left w:val="none" w:sz="0" w:space="0" w:color="auto"/>
        <w:bottom w:val="none" w:sz="0" w:space="0" w:color="auto"/>
        <w:right w:val="none" w:sz="0" w:space="0" w:color="auto"/>
      </w:divBdr>
    </w:div>
    <w:div w:id="321397064">
      <w:bodyDiv w:val="1"/>
      <w:marLeft w:val="0"/>
      <w:marRight w:val="0"/>
      <w:marTop w:val="0"/>
      <w:marBottom w:val="0"/>
      <w:divBdr>
        <w:top w:val="none" w:sz="0" w:space="0" w:color="auto"/>
        <w:left w:val="none" w:sz="0" w:space="0" w:color="auto"/>
        <w:bottom w:val="none" w:sz="0" w:space="0" w:color="auto"/>
        <w:right w:val="none" w:sz="0" w:space="0" w:color="auto"/>
      </w:divBdr>
    </w:div>
    <w:div w:id="357975688">
      <w:bodyDiv w:val="1"/>
      <w:marLeft w:val="0"/>
      <w:marRight w:val="0"/>
      <w:marTop w:val="0"/>
      <w:marBottom w:val="0"/>
      <w:divBdr>
        <w:top w:val="none" w:sz="0" w:space="0" w:color="auto"/>
        <w:left w:val="none" w:sz="0" w:space="0" w:color="auto"/>
        <w:bottom w:val="none" w:sz="0" w:space="0" w:color="auto"/>
        <w:right w:val="none" w:sz="0" w:space="0" w:color="auto"/>
      </w:divBdr>
    </w:div>
    <w:div w:id="517472903">
      <w:bodyDiv w:val="1"/>
      <w:marLeft w:val="0"/>
      <w:marRight w:val="0"/>
      <w:marTop w:val="0"/>
      <w:marBottom w:val="0"/>
      <w:divBdr>
        <w:top w:val="none" w:sz="0" w:space="0" w:color="auto"/>
        <w:left w:val="none" w:sz="0" w:space="0" w:color="auto"/>
        <w:bottom w:val="none" w:sz="0" w:space="0" w:color="auto"/>
        <w:right w:val="none" w:sz="0" w:space="0" w:color="auto"/>
      </w:divBdr>
      <w:divsChild>
        <w:div w:id="411703819">
          <w:marLeft w:val="0"/>
          <w:marRight w:val="0"/>
          <w:marTop w:val="240"/>
          <w:marBottom w:val="0"/>
          <w:divBdr>
            <w:top w:val="none" w:sz="0" w:space="0" w:color="auto"/>
            <w:left w:val="none" w:sz="0" w:space="0" w:color="auto"/>
            <w:bottom w:val="none" w:sz="0" w:space="0" w:color="auto"/>
            <w:right w:val="none" w:sz="0" w:space="0" w:color="auto"/>
          </w:divBdr>
        </w:div>
      </w:divsChild>
    </w:div>
    <w:div w:id="581790973">
      <w:bodyDiv w:val="1"/>
      <w:marLeft w:val="0"/>
      <w:marRight w:val="0"/>
      <w:marTop w:val="0"/>
      <w:marBottom w:val="0"/>
      <w:divBdr>
        <w:top w:val="none" w:sz="0" w:space="0" w:color="auto"/>
        <w:left w:val="none" w:sz="0" w:space="0" w:color="auto"/>
        <w:bottom w:val="none" w:sz="0" w:space="0" w:color="auto"/>
        <w:right w:val="none" w:sz="0" w:space="0" w:color="auto"/>
      </w:divBdr>
    </w:div>
    <w:div w:id="737902581">
      <w:bodyDiv w:val="1"/>
      <w:marLeft w:val="0"/>
      <w:marRight w:val="0"/>
      <w:marTop w:val="0"/>
      <w:marBottom w:val="0"/>
      <w:divBdr>
        <w:top w:val="none" w:sz="0" w:space="0" w:color="auto"/>
        <w:left w:val="none" w:sz="0" w:space="0" w:color="auto"/>
        <w:bottom w:val="none" w:sz="0" w:space="0" w:color="auto"/>
        <w:right w:val="none" w:sz="0" w:space="0" w:color="auto"/>
      </w:divBdr>
    </w:div>
    <w:div w:id="833181911">
      <w:bodyDiv w:val="1"/>
      <w:marLeft w:val="0"/>
      <w:marRight w:val="0"/>
      <w:marTop w:val="0"/>
      <w:marBottom w:val="0"/>
      <w:divBdr>
        <w:top w:val="none" w:sz="0" w:space="0" w:color="auto"/>
        <w:left w:val="none" w:sz="0" w:space="0" w:color="auto"/>
        <w:bottom w:val="none" w:sz="0" w:space="0" w:color="auto"/>
        <w:right w:val="none" w:sz="0" w:space="0" w:color="auto"/>
      </w:divBdr>
    </w:div>
    <w:div w:id="951322471">
      <w:bodyDiv w:val="1"/>
      <w:marLeft w:val="0"/>
      <w:marRight w:val="0"/>
      <w:marTop w:val="0"/>
      <w:marBottom w:val="0"/>
      <w:divBdr>
        <w:top w:val="none" w:sz="0" w:space="0" w:color="auto"/>
        <w:left w:val="none" w:sz="0" w:space="0" w:color="auto"/>
        <w:bottom w:val="none" w:sz="0" w:space="0" w:color="auto"/>
        <w:right w:val="none" w:sz="0" w:space="0" w:color="auto"/>
      </w:divBdr>
    </w:div>
    <w:div w:id="1075711190">
      <w:bodyDiv w:val="1"/>
      <w:marLeft w:val="0"/>
      <w:marRight w:val="0"/>
      <w:marTop w:val="0"/>
      <w:marBottom w:val="0"/>
      <w:divBdr>
        <w:top w:val="none" w:sz="0" w:space="0" w:color="auto"/>
        <w:left w:val="none" w:sz="0" w:space="0" w:color="auto"/>
        <w:bottom w:val="none" w:sz="0" w:space="0" w:color="auto"/>
        <w:right w:val="none" w:sz="0" w:space="0" w:color="auto"/>
      </w:divBdr>
    </w:div>
    <w:div w:id="1171337220">
      <w:bodyDiv w:val="1"/>
      <w:marLeft w:val="0"/>
      <w:marRight w:val="0"/>
      <w:marTop w:val="0"/>
      <w:marBottom w:val="0"/>
      <w:divBdr>
        <w:top w:val="none" w:sz="0" w:space="0" w:color="auto"/>
        <w:left w:val="none" w:sz="0" w:space="0" w:color="auto"/>
        <w:bottom w:val="none" w:sz="0" w:space="0" w:color="auto"/>
        <w:right w:val="none" w:sz="0" w:space="0" w:color="auto"/>
      </w:divBdr>
      <w:divsChild>
        <w:div w:id="1936593918">
          <w:marLeft w:val="0"/>
          <w:marRight w:val="0"/>
          <w:marTop w:val="105"/>
          <w:marBottom w:val="300"/>
          <w:divBdr>
            <w:top w:val="none" w:sz="0" w:space="0" w:color="auto"/>
            <w:left w:val="none" w:sz="0" w:space="0" w:color="auto"/>
            <w:bottom w:val="none" w:sz="0" w:space="0" w:color="auto"/>
            <w:right w:val="none" w:sz="0" w:space="0" w:color="auto"/>
          </w:divBdr>
        </w:div>
        <w:div w:id="157574509">
          <w:marLeft w:val="0"/>
          <w:marRight w:val="0"/>
          <w:marTop w:val="0"/>
          <w:marBottom w:val="0"/>
          <w:divBdr>
            <w:top w:val="none" w:sz="0" w:space="0" w:color="auto"/>
            <w:left w:val="none" w:sz="0" w:space="0" w:color="auto"/>
            <w:bottom w:val="none" w:sz="0" w:space="0" w:color="auto"/>
            <w:right w:val="none" w:sz="0" w:space="0" w:color="auto"/>
          </w:divBdr>
        </w:div>
        <w:div w:id="188565207">
          <w:marLeft w:val="242"/>
          <w:marRight w:val="0"/>
          <w:marTop w:val="225"/>
          <w:marBottom w:val="300"/>
          <w:divBdr>
            <w:top w:val="none" w:sz="0" w:space="0" w:color="auto"/>
            <w:left w:val="none" w:sz="0" w:space="0" w:color="auto"/>
            <w:bottom w:val="none" w:sz="0" w:space="0" w:color="auto"/>
            <w:right w:val="none" w:sz="0" w:space="0" w:color="auto"/>
          </w:divBdr>
          <w:divsChild>
            <w:div w:id="440415294">
              <w:marLeft w:val="0"/>
              <w:marRight w:val="0"/>
              <w:marTop w:val="450"/>
              <w:marBottom w:val="0"/>
              <w:divBdr>
                <w:top w:val="none" w:sz="0" w:space="0" w:color="auto"/>
                <w:left w:val="none" w:sz="0" w:space="0" w:color="auto"/>
                <w:bottom w:val="none" w:sz="0" w:space="0" w:color="auto"/>
                <w:right w:val="none" w:sz="0" w:space="0" w:color="auto"/>
              </w:divBdr>
            </w:div>
            <w:div w:id="192965071">
              <w:marLeft w:val="0"/>
              <w:marRight w:val="0"/>
              <w:marTop w:val="0"/>
              <w:marBottom w:val="0"/>
              <w:divBdr>
                <w:top w:val="none" w:sz="0" w:space="0" w:color="auto"/>
                <w:left w:val="none" w:sz="0" w:space="0" w:color="auto"/>
                <w:bottom w:val="none" w:sz="0" w:space="0" w:color="auto"/>
                <w:right w:val="none" w:sz="0" w:space="0" w:color="auto"/>
              </w:divBdr>
            </w:div>
            <w:div w:id="10672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343103">
      <w:bodyDiv w:val="1"/>
      <w:marLeft w:val="0"/>
      <w:marRight w:val="0"/>
      <w:marTop w:val="0"/>
      <w:marBottom w:val="0"/>
      <w:divBdr>
        <w:top w:val="none" w:sz="0" w:space="0" w:color="auto"/>
        <w:left w:val="none" w:sz="0" w:space="0" w:color="auto"/>
        <w:bottom w:val="none" w:sz="0" w:space="0" w:color="auto"/>
        <w:right w:val="none" w:sz="0" w:space="0" w:color="auto"/>
      </w:divBdr>
    </w:div>
    <w:div w:id="1276251840">
      <w:bodyDiv w:val="1"/>
      <w:marLeft w:val="0"/>
      <w:marRight w:val="0"/>
      <w:marTop w:val="0"/>
      <w:marBottom w:val="0"/>
      <w:divBdr>
        <w:top w:val="none" w:sz="0" w:space="0" w:color="auto"/>
        <w:left w:val="none" w:sz="0" w:space="0" w:color="auto"/>
        <w:bottom w:val="none" w:sz="0" w:space="0" w:color="auto"/>
        <w:right w:val="none" w:sz="0" w:space="0" w:color="auto"/>
      </w:divBdr>
    </w:div>
    <w:div w:id="1315375933">
      <w:bodyDiv w:val="1"/>
      <w:marLeft w:val="0"/>
      <w:marRight w:val="0"/>
      <w:marTop w:val="0"/>
      <w:marBottom w:val="0"/>
      <w:divBdr>
        <w:top w:val="none" w:sz="0" w:space="0" w:color="auto"/>
        <w:left w:val="none" w:sz="0" w:space="0" w:color="auto"/>
        <w:bottom w:val="none" w:sz="0" w:space="0" w:color="auto"/>
        <w:right w:val="none" w:sz="0" w:space="0" w:color="auto"/>
      </w:divBdr>
    </w:div>
    <w:div w:id="1532375245">
      <w:bodyDiv w:val="1"/>
      <w:marLeft w:val="0"/>
      <w:marRight w:val="0"/>
      <w:marTop w:val="0"/>
      <w:marBottom w:val="0"/>
      <w:divBdr>
        <w:top w:val="none" w:sz="0" w:space="0" w:color="auto"/>
        <w:left w:val="none" w:sz="0" w:space="0" w:color="auto"/>
        <w:bottom w:val="none" w:sz="0" w:space="0" w:color="auto"/>
        <w:right w:val="none" w:sz="0" w:space="0" w:color="auto"/>
      </w:divBdr>
    </w:div>
    <w:div w:id="1629819096">
      <w:bodyDiv w:val="1"/>
      <w:marLeft w:val="0"/>
      <w:marRight w:val="0"/>
      <w:marTop w:val="0"/>
      <w:marBottom w:val="0"/>
      <w:divBdr>
        <w:top w:val="none" w:sz="0" w:space="0" w:color="auto"/>
        <w:left w:val="none" w:sz="0" w:space="0" w:color="auto"/>
        <w:bottom w:val="none" w:sz="0" w:space="0" w:color="auto"/>
        <w:right w:val="none" w:sz="0" w:space="0" w:color="auto"/>
      </w:divBdr>
    </w:div>
    <w:div w:id="1638609293">
      <w:bodyDiv w:val="1"/>
      <w:marLeft w:val="0"/>
      <w:marRight w:val="0"/>
      <w:marTop w:val="0"/>
      <w:marBottom w:val="0"/>
      <w:divBdr>
        <w:top w:val="none" w:sz="0" w:space="0" w:color="auto"/>
        <w:left w:val="none" w:sz="0" w:space="0" w:color="auto"/>
        <w:bottom w:val="none" w:sz="0" w:space="0" w:color="auto"/>
        <w:right w:val="none" w:sz="0" w:space="0" w:color="auto"/>
      </w:divBdr>
    </w:div>
    <w:div w:id="1804930176">
      <w:bodyDiv w:val="1"/>
      <w:marLeft w:val="0"/>
      <w:marRight w:val="0"/>
      <w:marTop w:val="0"/>
      <w:marBottom w:val="0"/>
      <w:divBdr>
        <w:top w:val="none" w:sz="0" w:space="0" w:color="auto"/>
        <w:left w:val="none" w:sz="0" w:space="0" w:color="auto"/>
        <w:bottom w:val="none" w:sz="0" w:space="0" w:color="auto"/>
        <w:right w:val="none" w:sz="0" w:space="0" w:color="auto"/>
      </w:divBdr>
    </w:div>
    <w:div w:id="1915973490">
      <w:bodyDiv w:val="1"/>
      <w:marLeft w:val="0"/>
      <w:marRight w:val="0"/>
      <w:marTop w:val="0"/>
      <w:marBottom w:val="0"/>
      <w:divBdr>
        <w:top w:val="none" w:sz="0" w:space="0" w:color="auto"/>
        <w:left w:val="none" w:sz="0" w:space="0" w:color="auto"/>
        <w:bottom w:val="none" w:sz="0" w:space="0" w:color="auto"/>
        <w:right w:val="none" w:sz="0" w:space="0" w:color="auto"/>
      </w:divBdr>
    </w:div>
    <w:div w:id="2036493032">
      <w:bodyDiv w:val="1"/>
      <w:marLeft w:val="0"/>
      <w:marRight w:val="0"/>
      <w:marTop w:val="0"/>
      <w:marBottom w:val="0"/>
      <w:divBdr>
        <w:top w:val="none" w:sz="0" w:space="0" w:color="auto"/>
        <w:left w:val="none" w:sz="0" w:space="0" w:color="auto"/>
        <w:bottom w:val="none" w:sz="0" w:space="0" w:color="auto"/>
        <w:right w:val="none" w:sz="0" w:space="0" w:color="auto"/>
      </w:divBdr>
    </w:div>
    <w:div w:id="2104908833">
      <w:bodyDiv w:val="1"/>
      <w:marLeft w:val="0"/>
      <w:marRight w:val="0"/>
      <w:marTop w:val="0"/>
      <w:marBottom w:val="0"/>
      <w:divBdr>
        <w:top w:val="none" w:sz="0" w:space="0" w:color="auto"/>
        <w:left w:val="none" w:sz="0" w:space="0" w:color="auto"/>
        <w:bottom w:val="none" w:sz="0" w:space="0" w:color="auto"/>
        <w:right w:val="none" w:sz="0" w:space="0" w:color="auto"/>
      </w:divBdr>
      <w:divsChild>
        <w:div w:id="1817792300">
          <w:marLeft w:val="0"/>
          <w:marRight w:val="0"/>
          <w:marTop w:val="24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galites.fr/L-evolution-des-inegalites-de-revenus-en-Europ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4839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Charlène Friang</dc:creator>
  <cp:keywords/>
  <dc:description/>
  <cp:lastModifiedBy>HUTTEPAIN SOPHIE</cp:lastModifiedBy>
  <cp:revision>4</cp:revision>
  <dcterms:created xsi:type="dcterms:W3CDTF">2018-12-06T08:26:00Z</dcterms:created>
  <dcterms:modified xsi:type="dcterms:W3CDTF">2018-12-06T08:53:00Z</dcterms:modified>
</cp:coreProperties>
</file>