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56198C">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fr-FR"/>
        </w:rPr>
      </w:pPr>
    </w:p>
    <w:p w:rsidR="00F130F2" w:rsidRPr="00F94164" w:rsidRDefault="00F130F2" w:rsidP="0056198C">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fr-FR"/>
        </w:rPr>
      </w:pPr>
      <w:r w:rsidRPr="00F94164">
        <w:rPr>
          <w:rFonts w:ascii="Times New Roman" w:eastAsia="Times New Roman" w:hAnsi="Times New Roman" w:cs="Times New Roman"/>
          <w:b/>
          <w:bCs/>
          <w:kern w:val="36"/>
          <w:sz w:val="28"/>
          <w:szCs w:val="28"/>
          <w:lang w:eastAsia="fr-FR"/>
        </w:rPr>
        <w:t>Choix du conjoint : l’</w:t>
      </w:r>
      <w:proofErr w:type="spellStart"/>
      <w:r w:rsidRPr="00F94164">
        <w:rPr>
          <w:rFonts w:ascii="Times New Roman" w:eastAsia="Times New Roman" w:hAnsi="Times New Roman" w:cs="Times New Roman"/>
          <w:b/>
          <w:bCs/>
          <w:kern w:val="36"/>
          <w:sz w:val="28"/>
          <w:szCs w:val="28"/>
          <w:lang w:eastAsia="fr-FR"/>
        </w:rPr>
        <w:t>entre-soi</w:t>
      </w:r>
      <w:proofErr w:type="spellEnd"/>
      <w:r w:rsidRPr="00F94164">
        <w:rPr>
          <w:rFonts w:ascii="Times New Roman" w:eastAsia="Times New Roman" w:hAnsi="Times New Roman" w:cs="Times New Roman"/>
          <w:b/>
          <w:bCs/>
          <w:kern w:val="36"/>
          <w:sz w:val="28"/>
          <w:szCs w:val="28"/>
          <w:lang w:eastAsia="fr-FR"/>
        </w:rPr>
        <w:t xml:space="preserve"> des nantis</w:t>
      </w:r>
    </w:p>
    <w:p w:rsidR="00F130F2" w:rsidRPr="00CB15F6" w:rsidRDefault="00F130F2" w:rsidP="0056198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sz w:val="24"/>
          <w:szCs w:val="24"/>
          <w:lang w:eastAsia="fr-FR"/>
        </w:rPr>
        <w:t xml:space="preserve">Xavier </w:t>
      </w:r>
      <w:proofErr w:type="spellStart"/>
      <w:r w:rsidRPr="00CB15F6">
        <w:rPr>
          <w:rFonts w:ascii="Times New Roman" w:eastAsia="Times New Roman" w:hAnsi="Times New Roman" w:cs="Times New Roman"/>
          <w:sz w:val="24"/>
          <w:szCs w:val="24"/>
          <w:lang w:eastAsia="fr-FR"/>
        </w:rPr>
        <w:t>Molénat</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Altereco</w:t>
      </w:r>
      <w:proofErr w:type="spellEnd"/>
      <w:r>
        <w:rPr>
          <w:rFonts w:ascii="Times New Roman" w:eastAsia="Times New Roman" w:hAnsi="Times New Roman" w:cs="Times New Roman"/>
          <w:sz w:val="24"/>
          <w:szCs w:val="24"/>
          <w:lang w:eastAsia="fr-FR"/>
        </w:rPr>
        <w:t xml:space="preserve">+, 30 avril 2015 </w:t>
      </w:r>
    </w:p>
    <w:p w:rsidR="00F130F2" w:rsidRPr="00F130F2" w:rsidRDefault="00F130F2" w:rsidP="0056198C">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F130F2">
        <w:rPr>
          <w:rFonts w:ascii="Times New Roman" w:eastAsia="Times New Roman" w:hAnsi="Times New Roman" w:cs="Times New Roman"/>
          <w:b/>
          <w:sz w:val="24"/>
          <w:szCs w:val="24"/>
          <w:lang w:eastAsia="fr-FR"/>
        </w:rPr>
        <w:t xml:space="preserve">« Qui se ressemble s’assemble », telle a longtemps été la loi en matière de choix amoureux. </w:t>
      </w:r>
      <w:r>
        <w:rPr>
          <w:rFonts w:ascii="Times New Roman" w:eastAsia="Times New Roman" w:hAnsi="Times New Roman" w:cs="Times New Roman"/>
          <w:b/>
          <w:sz w:val="24"/>
          <w:szCs w:val="24"/>
          <w:lang w:eastAsia="fr-FR"/>
        </w:rPr>
        <w:t xml:space="preserve">Aujourd’hui, les couples sont moins souvent homogames… sauf parmi les élites.  </w:t>
      </w:r>
    </w:p>
    <w:p w:rsidR="00F130F2" w:rsidRDefault="00F130F2" w:rsidP="0056198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Pr="00F94164">
        <w:rPr>
          <w:rFonts w:ascii="Times New Roman" w:eastAsia="Times New Roman" w:hAnsi="Times New Roman" w:cs="Times New Roman"/>
          <w:sz w:val="24"/>
          <w:szCs w:val="24"/>
          <w:lang w:eastAsia="fr-FR"/>
        </w:rPr>
        <w:t xml:space="preserve">Qui se ressemble s’assemble », telle a longtemps été la loi en matière de choix amoureux. Dès 1964, le démographe Alain Girard </w:t>
      </w:r>
      <w:hyperlink r:id="rId9" w:tgtFrame="_blank" w:history="1">
        <w:r w:rsidRPr="00F94164">
          <w:rPr>
            <w:rFonts w:ascii="Times New Roman" w:eastAsia="Times New Roman" w:hAnsi="Times New Roman" w:cs="Times New Roman"/>
            <w:sz w:val="24"/>
            <w:szCs w:val="24"/>
            <w:lang w:eastAsia="fr-FR"/>
          </w:rPr>
          <w:t>avait montré</w:t>
        </w:r>
      </w:hyperlink>
      <w:r w:rsidRPr="00F94164">
        <w:rPr>
          <w:rFonts w:ascii="Times New Roman" w:eastAsia="Times New Roman" w:hAnsi="Times New Roman" w:cs="Times New Roman"/>
          <w:sz w:val="24"/>
          <w:szCs w:val="24"/>
          <w:lang w:eastAsia="fr-FR"/>
        </w:rPr>
        <w:t xml:space="preserve"> que </w:t>
      </w:r>
      <w:r w:rsidRPr="00F94164">
        <w:rPr>
          <w:rFonts w:ascii="Times New Roman" w:eastAsia="Times New Roman" w:hAnsi="Times New Roman" w:cs="Times New Roman"/>
          <w:i/>
          <w:iCs/>
          <w:sz w:val="24"/>
          <w:szCs w:val="24"/>
          <w:lang w:eastAsia="fr-FR"/>
        </w:rPr>
        <w:t>«</w:t>
      </w:r>
      <w:r w:rsidRPr="00F94164">
        <w:rPr>
          <w:rFonts w:ascii="Times New Roman" w:eastAsia="Times New Roman" w:hAnsi="Times New Roman" w:cs="Times New Roman"/>
          <w:sz w:val="24"/>
          <w:szCs w:val="24"/>
          <w:lang w:eastAsia="fr-FR"/>
        </w:rPr>
        <w:t> </w:t>
      </w:r>
      <w:r w:rsidRPr="00F94164">
        <w:rPr>
          <w:rFonts w:ascii="Times New Roman" w:eastAsia="Times New Roman" w:hAnsi="Times New Roman" w:cs="Times New Roman"/>
          <w:i/>
          <w:iCs/>
          <w:sz w:val="24"/>
          <w:szCs w:val="24"/>
          <w:lang w:eastAsia="fr-FR"/>
        </w:rPr>
        <w:t>la foudre, quand elle tombe, ne tombe pas n'importe où</w:t>
      </w:r>
      <w:r w:rsidRPr="00F94164">
        <w:rPr>
          <w:rFonts w:ascii="Times New Roman" w:eastAsia="Times New Roman" w:hAnsi="Times New Roman" w:cs="Times New Roman"/>
          <w:sz w:val="24"/>
          <w:szCs w:val="24"/>
          <w:lang w:eastAsia="fr-FR"/>
        </w:rPr>
        <w:t> » mais unissait, bien plus souvent que ne le voudrait le hasard, des individus de même milieu social.</w:t>
      </w:r>
    </w:p>
    <w:p w:rsidR="0056198C" w:rsidRPr="00F94164" w:rsidRDefault="0056198C" w:rsidP="0056198C">
      <w:pPr>
        <w:spacing w:after="0" w:line="240" w:lineRule="auto"/>
        <w:jc w:val="both"/>
        <w:rPr>
          <w:rFonts w:ascii="Times New Roman" w:eastAsia="Times New Roman" w:hAnsi="Times New Roman" w:cs="Times New Roman"/>
          <w:sz w:val="24"/>
          <w:szCs w:val="24"/>
          <w:lang w:eastAsia="fr-FR"/>
        </w:rPr>
      </w:pPr>
    </w:p>
    <w:p w:rsidR="00F130F2" w:rsidRDefault="00F130F2" w:rsidP="0056198C">
      <w:pPr>
        <w:spacing w:after="0"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b/>
          <w:sz w:val="24"/>
          <w:szCs w:val="24"/>
          <w:lang w:eastAsia="fr-FR"/>
        </w:rPr>
        <w:t>Un déclin global de l’homogamie...</w:t>
      </w:r>
    </w:p>
    <w:p w:rsidR="00F130F2" w:rsidRPr="00CB15F6" w:rsidRDefault="00F130F2" w:rsidP="0056198C">
      <w:pPr>
        <w:spacing w:after="0"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sz w:val="24"/>
          <w:szCs w:val="24"/>
          <w:lang w:eastAsia="fr-FR"/>
        </w:rPr>
        <w:t>Cinquante ans plus tard, cette logique de reproduction sociale s’est nettement assouplie, selon le sociologue Milan Bouchet-</w:t>
      </w:r>
      <w:proofErr w:type="spellStart"/>
      <w:r w:rsidRPr="00CB15F6">
        <w:rPr>
          <w:rFonts w:ascii="Times New Roman" w:eastAsia="Times New Roman" w:hAnsi="Times New Roman" w:cs="Times New Roman"/>
          <w:sz w:val="24"/>
          <w:szCs w:val="24"/>
          <w:lang w:eastAsia="fr-FR"/>
        </w:rPr>
        <w:t>Valat</w:t>
      </w:r>
      <w:proofErr w:type="spellEnd"/>
      <w:r w:rsidRPr="00CB15F6">
        <w:rPr>
          <w:rFonts w:ascii="Times New Roman" w:eastAsia="Times New Roman" w:hAnsi="Times New Roman" w:cs="Times New Roman"/>
          <w:sz w:val="24"/>
          <w:szCs w:val="24"/>
          <w:lang w:eastAsia="fr-FR"/>
        </w:rPr>
        <w:t xml:space="preserve">. S’appuyant sur une série d’enquêtes sur l’emploi menées annuellement par l’Insee, </w:t>
      </w:r>
      <w:hyperlink r:id="rId10" w:tgtFrame="_blank" w:history="1">
        <w:r w:rsidRPr="00F94164">
          <w:rPr>
            <w:rFonts w:ascii="Times New Roman" w:eastAsia="Times New Roman" w:hAnsi="Times New Roman" w:cs="Times New Roman"/>
            <w:sz w:val="24"/>
            <w:szCs w:val="24"/>
            <w:lang w:eastAsia="fr-FR"/>
          </w:rPr>
          <w:t>il montre</w:t>
        </w:r>
      </w:hyperlink>
      <w:r w:rsidRPr="00F941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qu’entre 1969 et 201</w:t>
      </w:r>
      <w:r w:rsidRPr="00CB15F6">
        <w:rPr>
          <w:rFonts w:ascii="Times New Roman" w:eastAsia="Times New Roman" w:hAnsi="Times New Roman" w:cs="Times New Roman"/>
          <w:sz w:val="24"/>
          <w:szCs w:val="24"/>
          <w:lang w:eastAsia="fr-FR"/>
        </w:rPr>
        <w:t xml:space="preserve">1, le nombre de couples (mariés ou </w:t>
      </w:r>
      <w:proofErr w:type="spellStart"/>
      <w:r w:rsidRPr="00CB15F6">
        <w:rPr>
          <w:rFonts w:ascii="Times New Roman" w:eastAsia="Times New Roman" w:hAnsi="Times New Roman" w:cs="Times New Roman"/>
          <w:sz w:val="24"/>
          <w:szCs w:val="24"/>
          <w:lang w:eastAsia="fr-FR"/>
        </w:rPr>
        <w:t>cohabitants</w:t>
      </w:r>
      <w:proofErr w:type="spellEnd"/>
      <w:r w:rsidRPr="00CB15F6">
        <w:rPr>
          <w:rFonts w:ascii="Times New Roman" w:eastAsia="Times New Roman" w:hAnsi="Times New Roman" w:cs="Times New Roman"/>
          <w:sz w:val="24"/>
          <w:szCs w:val="24"/>
          <w:lang w:eastAsia="fr-FR"/>
        </w:rPr>
        <w:t xml:space="preserve">) homogames a baissé de 30 % à 50 % selon le critère retenu. Le taux de couple endogame du point de vue du diplôme est par exemple passé de 47 % en 1969 à 27 % en 2011. Autre exemple,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 xml:space="preserve">la proportion des couples associant un membre des cadres et professions intellectuelles supérieures </w:t>
      </w:r>
      <w:r w:rsidRPr="00CB15F6">
        <w:rPr>
          <w:rFonts w:ascii="Times New Roman" w:eastAsia="Times New Roman" w:hAnsi="Times New Roman" w:cs="Times New Roman"/>
          <w:sz w:val="24"/>
          <w:szCs w:val="24"/>
          <w:lang w:eastAsia="fr-FR"/>
        </w:rPr>
        <w:t>(…)</w:t>
      </w:r>
      <w:r w:rsidRPr="00CB15F6">
        <w:rPr>
          <w:rFonts w:ascii="Times New Roman" w:eastAsia="Times New Roman" w:hAnsi="Times New Roman" w:cs="Times New Roman"/>
          <w:i/>
          <w:iCs/>
          <w:sz w:val="24"/>
          <w:szCs w:val="24"/>
          <w:lang w:eastAsia="fr-FR"/>
        </w:rPr>
        <w:t xml:space="preserve"> et un membre des classes populaires (…) a plus que doublé</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passant de 3 % à 8 % sur le même intervalle.</w:t>
      </w:r>
    </w:p>
    <w:p w:rsidR="00F130F2" w:rsidRDefault="00F130F2" w:rsidP="0056198C">
      <w:pPr>
        <w:spacing w:after="0"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sz w:val="24"/>
          <w:szCs w:val="24"/>
          <w:lang w:eastAsia="fr-FR"/>
        </w:rPr>
        <w:t>Ces évolutions résultent pour partie des transformations structurel</w:t>
      </w:r>
      <w:bookmarkStart w:id="0" w:name="_GoBack"/>
      <w:bookmarkEnd w:id="0"/>
      <w:r w:rsidRPr="00CB15F6">
        <w:rPr>
          <w:rFonts w:ascii="Times New Roman" w:eastAsia="Times New Roman" w:hAnsi="Times New Roman" w:cs="Times New Roman"/>
          <w:sz w:val="24"/>
          <w:szCs w:val="24"/>
          <w:lang w:eastAsia="fr-FR"/>
        </w:rPr>
        <w:t>les de la société française : massification scolaire qui a fortement augmenté le nombre de personnes diplômées, hausse de l’emploi féminin, déclin du nombre d’agriculteurs… Ces transformations n’expliquent pas à elles seules, cependant, la forte baisse de l’homogamie au sein de la population française, qui témoigne donc dans son ensemble d’un degré d’ouverture sociale inédit en matière de choix du conjoint. Le déclin avéré du sentiment d’appartenance à une classe sociale en serait, selon le chercheur, une traduction directe.</w:t>
      </w:r>
    </w:p>
    <w:p w:rsidR="0056198C" w:rsidRPr="00CB15F6" w:rsidRDefault="0056198C" w:rsidP="0056198C">
      <w:pPr>
        <w:spacing w:after="0" w:line="240" w:lineRule="auto"/>
        <w:jc w:val="both"/>
        <w:rPr>
          <w:rFonts w:ascii="Times New Roman" w:eastAsia="Times New Roman" w:hAnsi="Times New Roman" w:cs="Times New Roman"/>
          <w:sz w:val="24"/>
          <w:szCs w:val="24"/>
          <w:lang w:eastAsia="fr-FR"/>
        </w:rPr>
      </w:pPr>
    </w:p>
    <w:p w:rsidR="00F130F2" w:rsidRDefault="00F130F2" w:rsidP="0056198C">
      <w:pPr>
        <w:spacing w:after="0"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b/>
          <w:sz w:val="24"/>
          <w:szCs w:val="24"/>
          <w:lang w:eastAsia="fr-FR"/>
        </w:rPr>
        <w:t>... dont se préservent les élites</w:t>
      </w:r>
    </w:p>
    <w:p w:rsidR="006C0E5E" w:rsidRDefault="00F130F2" w:rsidP="0056198C">
      <w:pPr>
        <w:spacing w:after="0"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sz w:val="24"/>
          <w:szCs w:val="24"/>
          <w:lang w:eastAsia="fr-FR"/>
        </w:rPr>
        <w:t>Cette ouverture n’est pourtant pas généralisée. Milan Bouchet-</w:t>
      </w:r>
      <w:proofErr w:type="spellStart"/>
      <w:r w:rsidRPr="00CB15F6">
        <w:rPr>
          <w:rFonts w:ascii="Times New Roman" w:eastAsia="Times New Roman" w:hAnsi="Times New Roman" w:cs="Times New Roman"/>
          <w:sz w:val="24"/>
          <w:szCs w:val="24"/>
          <w:lang w:eastAsia="fr-FR"/>
        </w:rPr>
        <w:t>Valat</w:t>
      </w:r>
      <w:proofErr w:type="spellEnd"/>
      <w:r w:rsidRPr="00CB15F6">
        <w:rPr>
          <w:rFonts w:ascii="Times New Roman" w:eastAsia="Times New Roman" w:hAnsi="Times New Roman" w:cs="Times New Roman"/>
          <w:sz w:val="24"/>
          <w:szCs w:val="24"/>
          <w:lang w:eastAsia="fr-FR"/>
        </w:rPr>
        <w:t xml:space="preserve"> constate que les diplômés de grandes écoles, loin de se mélanger davantage à la population, ont renforcé leur endogamie entre 1969 et 2011. Cela s’explique, selon lui, par le fait que ces établissements ont été à rebours du mouvement de démocratisation scolaire, </w:t>
      </w:r>
      <w:r w:rsidRPr="00CB15F6">
        <w:rPr>
          <w:rFonts w:ascii="Times New Roman" w:eastAsia="Times New Roman" w:hAnsi="Times New Roman" w:cs="Times New Roman"/>
          <w:i/>
          <w:iCs/>
          <w:sz w:val="24"/>
          <w:szCs w:val="24"/>
          <w:lang w:eastAsia="fr-FR"/>
        </w:rPr>
        <w:t xml:space="preserve">« la part des enfants issus des classes populaires parmi leurs élèves </w:t>
      </w:r>
      <w:r w:rsidRPr="00CB15F6">
        <w:rPr>
          <w:rFonts w:ascii="Times New Roman" w:eastAsia="Times New Roman" w:hAnsi="Times New Roman" w:cs="Times New Roman"/>
          <w:sz w:val="24"/>
          <w:szCs w:val="24"/>
          <w:lang w:eastAsia="fr-FR"/>
        </w:rPr>
        <w:t>[ayant]</w:t>
      </w:r>
      <w:r w:rsidRPr="00CB15F6">
        <w:rPr>
          <w:rFonts w:ascii="Times New Roman" w:eastAsia="Times New Roman" w:hAnsi="Times New Roman" w:cs="Times New Roman"/>
          <w:i/>
          <w:iCs/>
          <w:sz w:val="24"/>
          <w:szCs w:val="24"/>
          <w:lang w:eastAsia="fr-FR"/>
        </w:rPr>
        <w:t xml:space="preserve"> baissé plus rapidement que dans la population générale</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xml:space="preserve">. Derrière le diplôme, se cacherait donc une forte homogamie sociale des classes supérieures. Par ailleurs, l’entrée des femmes dans les grandes écoles auparavant réservées </w:t>
      </w:r>
      <w:r w:rsidRPr="00F94164">
        <w:rPr>
          <w:rFonts w:ascii="Times New Roman" w:eastAsia="Times New Roman" w:hAnsi="Times New Roman" w:cs="Times New Roman"/>
          <w:sz w:val="24"/>
          <w:szCs w:val="24"/>
          <w:lang w:eastAsia="fr-FR"/>
        </w:rPr>
        <w:t xml:space="preserve">aux hommes a pu transformer leurs campus, lieux d’une </w:t>
      </w:r>
      <w:hyperlink r:id="rId11" w:tgtFrame="_blank" w:history="1">
        <w:r w:rsidRPr="00F94164">
          <w:rPr>
            <w:rFonts w:ascii="Times New Roman" w:eastAsia="Times New Roman" w:hAnsi="Times New Roman" w:cs="Times New Roman"/>
            <w:sz w:val="24"/>
            <w:szCs w:val="24"/>
            <w:lang w:eastAsia="fr-FR"/>
          </w:rPr>
          <w:t>intense sociabilité</w:t>
        </w:r>
      </w:hyperlink>
      <w:r w:rsidRPr="00F94164">
        <w:rPr>
          <w:rFonts w:ascii="Times New Roman" w:eastAsia="Times New Roman" w:hAnsi="Times New Roman" w:cs="Times New Roman"/>
          <w:sz w:val="24"/>
          <w:szCs w:val="24"/>
          <w:lang w:eastAsia="fr-FR"/>
        </w:rPr>
        <w:t xml:space="preserve">, en d’efficaces </w:t>
      </w:r>
      <w:r w:rsidRPr="00CB15F6">
        <w:rPr>
          <w:rFonts w:ascii="Times New Roman" w:eastAsia="Times New Roman" w:hAnsi="Times New Roman" w:cs="Times New Roman"/>
          <w:sz w:val="24"/>
          <w:szCs w:val="24"/>
          <w:lang w:eastAsia="fr-FR"/>
        </w:rPr>
        <w:t>marchés conjugaux.</w:t>
      </w:r>
    </w:p>
    <w:p w:rsidR="00F130F2" w:rsidRPr="00CB15F6" w:rsidRDefault="00F130F2" w:rsidP="0056198C">
      <w:pPr>
        <w:spacing w:after="0" w:line="240" w:lineRule="auto"/>
        <w:jc w:val="both"/>
        <w:rPr>
          <w:rFonts w:ascii="Times New Roman" w:eastAsia="Times New Roman" w:hAnsi="Times New Roman" w:cs="Times New Roman"/>
          <w:sz w:val="24"/>
          <w:szCs w:val="24"/>
          <w:lang w:eastAsia="fr-FR"/>
        </w:rPr>
      </w:pPr>
      <w:r w:rsidRPr="00F94164">
        <w:rPr>
          <w:rFonts w:ascii="Times New Roman" w:eastAsia="Times New Roman" w:hAnsi="Times New Roman" w:cs="Times New Roman"/>
          <w:sz w:val="24"/>
          <w:szCs w:val="24"/>
          <w:lang w:eastAsia="fr-FR"/>
        </w:rPr>
        <w:t xml:space="preserve">Une autre </w:t>
      </w:r>
      <w:hyperlink r:id="rId12" w:tgtFrame="_blank" w:history="1">
        <w:r w:rsidRPr="00F94164">
          <w:rPr>
            <w:rFonts w:ascii="Times New Roman" w:eastAsia="Times New Roman" w:hAnsi="Times New Roman" w:cs="Times New Roman"/>
            <w:sz w:val="24"/>
            <w:szCs w:val="24"/>
            <w:lang w:eastAsia="fr-FR"/>
          </w:rPr>
          <w:t>enquête</w:t>
        </w:r>
      </w:hyperlink>
      <w:r w:rsidRPr="00F94164">
        <w:rPr>
          <w:rFonts w:ascii="Times New Roman" w:eastAsia="Times New Roman" w:hAnsi="Times New Roman" w:cs="Times New Roman"/>
          <w:sz w:val="24"/>
          <w:szCs w:val="24"/>
          <w:lang w:eastAsia="fr-FR"/>
        </w:rPr>
        <w:t xml:space="preserve"> de l’économiste Nicolas </w:t>
      </w:r>
      <w:proofErr w:type="spellStart"/>
      <w:r w:rsidRPr="00F94164">
        <w:rPr>
          <w:rFonts w:ascii="Times New Roman" w:eastAsia="Times New Roman" w:hAnsi="Times New Roman" w:cs="Times New Roman"/>
          <w:sz w:val="24"/>
          <w:szCs w:val="24"/>
          <w:lang w:eastAsia="fr-FR"/>
        </w:rPr>
        <w:t>Frémeaux</w:t>
      </w:r>
      <w:proofErr w:type="spellEnd"/>
      <w:r w:rsidRPr="00F94164">
        <w:rPr>
          <w:rFonts w:ascii="Times New Roman" w:eastAsia="Times New Roman" w:hAnsi="Times New Roman" w:cs="Times New Roman"/>
          <w:sz w:val="24"/>
          <w:szCs w:val="24"/>
          <w:lang w:eastAsia="fr-FR"/>
        </w:rPr>
        <w:t xml:space="preserve"> montre, elle, que les personnes ayant </w:t>
      </w:r>
      <w:r w:rsidRPr="00CB15F6">
        <w:rPr>
          <w:rFonts w:ascii="Times New Roman" w:eastAsia="Times New Roman" w:hAnsi="Times New Roman" w:cs="Times New Roman"/>
          <w:sz w:val="24"/>
          <w:szCs w:val="24"/>
          <w:lang w:eastAsia="fr-FR"/>
        </w:rPr>
        <w:t xml:space="preserve">hérité ou devant hériter d’un patrimoine (qui représente 55 % à 60 % de la population) ont trois fois sur quatre un conjoint qui est dans la même situation. Surtout, cette homogamie patrimoniale croît avec le montant de l’héritage, qu’il ait déjà été transmis ou qu’il soit encore à venir : ceux qui reçoivent le plus de leurs parents ont une tendance beaucoup plus forte à se marier entre eux que ceux qui reçoivent peu. Tirer d’importants revenus de votre activité n’y changera rien :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les héritiers épousent des héritières (ou l’inverse) et les travailleurs s’attirent mutuellement</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xml:space="preserve">, un constat qui n’a guère évolué depuis vingt ans selon </w:t>
      </w:r>
      <w:r w:rsidRPr="00CB15F6">
        <w:rPr>
          <w:rFonts w:ascii="Times New Roman" w:eastAsia="Times New Roman" w:hAnsi="Times New Roman" w:cs="Times New Roman"/>
          <w:sz w:val="24"/>
          <w:szCs w:val="24"/>
          <w:lang w:eastAsia="fr-FR"/>
        </w:rPr>
        <w:lastRenderedPageBreak/>
        <w:t>l’économiste. Cet hermétisme peut s’expliquer là aussi en partie par les similarités d’origine sociale, ou encore par les stratégies mises en œuvre par les familles les plus fortunées pour éviter les « mauvais placements ».</w:t>
      </w:r>
    </w:p>
    <w:p w:rsidR="00F130F2" w:rsidRDefault="00F130F2" w:rsidP="0056198C">
      <w:pPr>
        <w:spacing w:after="0" w:line="240" w:lineRule="auto"/>
        <w:jc w:val="both"/>
        <w:rPr>
          <w:rFonts w:ascii="Times New Roman" w:eastAsia="Times New Roman" w:hAnsi="Times New Roman" w:cs="Times New Roman"/>
          <w:sz w:val="24"/>
          <w:szCs w:val="24"/>
          <w:lang w:eastAsia="fr-FR"/>
        </w:rPr>
      </w:pPr>
      <w:r w:rsidRPr="00CB15F6">
        <w:rPr>
          <w:rFonts w:ascii="Times New Roman" w:eastAsia="Times New Roman" w:hAnsi="Times New Roman" w:cs="Times New Roman"/>
          <w:b/>
          <w:sz w:val="24"/>
          <w:szCs w:val="24"/>
          <w:lang w:eastAsia="fr-FR"/>
        </w:rPr>
        <w:t>Un séparatisme social ?</w:t>
      </w:r>
      <w:r>
        <w:rPr>
          <w:rFonts w:ascii="Times New Roman" w:eastAsia="Times New Roman" w:hAnsi="Times New Roman" w:cs="Times New Roman"/>
          <w:sz w:val="24"/>
          <w:szCs w:val="24"/>
          <w:lang w:eastAsia="fr-FR"/>
        </w:rPr>
        <w:t xml:space="preserve"> </w:t>
      </w:r>
    </w:p>
    <w:p w:rsidR="00F130F2" w:rsidRPr="00F94164" w:rsidRDefault="00F130F2" w:rsidP="0056198C">
      <w:pPr>
        <w:spacing w:after="0" w:line="240" w:lineRule="auto"/>
        <w:jc w:val="both"/>
        <w:rPr>
          <w:rFonts w:ascii="Times New Roman" w:eastAsia="Times New Roman" w:hAnsi="Times New Roman" w:cs="Times New Roman"/>
          <w:sz w:val="24"/>
          <w:szCs w:val="24"/>
          <w:lang w:eastAsia="fr-FR"/>
        </w:rPr>
      </w:pPr>
      <w:r w:rsidRPr="00A53020">
        <w:rPr>
          <w:rFonts w:ascii="Times New Roman" w:eastAsia="Times New Roman" w:hAnsi="Times New Roman" w:cs="Times New Roman"/>
          <w:sz w:val="24"/>
          <w:szCs w:val="24"/>
          <w:u w:val="single"/>
          <w:lang w:eastAsia="fr-FR"/>
        </w:rPr>
        <w:t>Les élites scolaires et patrimoniales résistent donc au mouvement général d’affaiblissement des frontières sociales en matière de conjugalité</w:t>
      </w:r>
      <w:r w:rsidRPr="00CB15F6">
        <w:rPr>
          <w:rFonts w:ascii="Times New Roman" w:eastAsia="Times New Roman" w:hAnsi="Times New Roman" w:cs="Times New Roman"/>
          <w:sz w:val="24"/>
          <w:szCs w:val="24"/>
          <w:lang w:eastAsia="fr-FR"/>
        </w:rPr>
        <w:t xml:space="preserve">. Compte-tenu du fait que la transmission de patrimoines revient, comme l’a montré Thomas Piketty, à des niveaux très importants en France, il est même probable, selon Nicolas </w:t>
      </w:r>
      <w:proofErr w:type="spellStart"/>
      <w:r w:rsidRPr="00CB15F6">
        <w:rPr>
          <w:rFonts w:ascii="Times New Roman" w:eastAsia="Times New Roman" w:hAnsi="Times New Roman" w:cs="Times New Roman"/>
          <w:sz w:val="24"/>
          <w:szCs w:val="24"/>
          <w:lang w:eastAsia="fr-FR"/>
        </w:rPr>
        <w:t>Frémeaux</w:t>
      </w:r>
      <w:proofErr w:type="spellEnd"/>
      <w:r w:rsidRPr="00CB15F6">
        <w:rPr>
          <w:rFonts w:ascii="Times New Roman" w:eastAsia="Times New Roman" w:hAnsi="Times New Roman" w:cs="Times New Roman"/>
          <w:sz w:val="24"/>
          <w:szCs w:val="24"/>
          <w:lang w:eastAsia="fr-FR"/>
        </w:rPr>
        <w:t xml:space="preserve">,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 xml:space="preserve">que l’homogamie en termes d’héritage </w:t>
      </w:r>
      <w:r w:rsidRPr="00CB15F6">
        <w:rPr>
          <w:rFonts w:ascii="Times New Roman" w:eastAsia="Times New Roman" w:hAnsi="Times New Roman" w:cs="Times New Roman"/>
          <w:sz w:val="24"/>
          <w:szCs w:val="24"/>
          <w:lang w:eastAsia="fr-FR"/>
        </w:rPr>
        <w:t>[voie]</w:t>
      </w:r>
      <w:r w:rsidRPr="00CB15F6">
        <w:rPr>
          <w:rFonts w:ascii="Times New Roman" w:eastAsia="Times New Roman" w:hAnsi="Times New Roman" w:cs="Times New Roman"/>
          <w:i/>
          <w:iCs/>
          <w:sz w:val="24"/>
          <w:szCs w:val="24"/>
          <w:lang w:eastAsia="fr-FR"/>
        </w:rPr>
        <w:t xml:space="preserve"> son importance croître</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xml:space="preserve"> au cours des années à venir. Plus globalement, Milan Boucher-</w:t>
      </w:r>
      <w:proofErr w:type="spellStart"/>
      <w:r w:rsidRPr="00CB15F6">
        <w:rPr>
          <w:rFonts w:ascii="Times New Roman" w:eastAsia="Times New Roman" w:hAnsi="Times New Roman" w:cs="Times New Roman"/>
          <w:sz w:val="24"/>
          <w:szCs w:val="24"/>
          <w:lang w:eastAsia="fr-FR"/>
        </w:rPr>
        <w:t>Valat</w:t>
      </w:r>
      <w:proofErr w:type="spellEnd"/>
      <w:r w:rsidRPr="00CB15F6">
        <w:rPr>
          <w:rFonts w:ascii="Times New Roman" w:eastAsia="Times New Roman" w:hAnsi="Times New Roman" w:cs="Times New Roman"/>
          <w:sz w:val="24"/>
          <w:szCs w:val="24"/>
          <w:lang w:eastAsia="fr-FR"/>
        </w:rPr>
        <w:t xml:space="preserve"> voit dans le maintien, voire le renforcement de cet </w:t>
      </w:r>
      <w:proofErr w:type="spellStart"/>
      <w:r w:rsidRPr="00CB15F6">
        <w:rPr>
          <w:rFonts w:ascii="Times New Roman" w:eastAsia="Times New Roman" w:hAnsi="Times New Roman" w:cs="Times New Roman"/>
          <w:sz w:val="24"/>
          <w:szCs w:val="24"/>
          <w:lang w:eastAsia="fr-FR"/>
        </w:rPr>
        <w:t>entre-soi</w:t>
      </w:r>
      <w:proofErr w:type="spellEnd"/>
      <w:r w:rsidRPr="00CB15F6">
        <w:rPr>
          <w:rFonts w:ascii="Times New Roman" w:eastAsia="Times New Roman" w:hAnsi="Times New Roman" w:cs="Times New Roman"/>
          <w:sz w:val="24"/>
          <w:szCs w:val="24"/>
          <w:lang w:eastAsia="fr-FR"/>
        </w:rPr>
        <w:t xml:space="preserve"> amoureux</w:t>
      </w:r>
      <w:r w:rsidR="0056198C">
        <w:rPr>
          <w:rFonts w:ascii="Times New Roman" w:eastAsia="Times New Roman" w:hAnsi="Times New Roman" w:cs="Times New Roman"/>
          <w:sz w:val="24"/>
          <w:szCs w:val="24"/>
          <w:lang w:eastAsia="fr-FR"/>
        </w:rPr>
        <w:t>,</w:t>
      </w:r>
      <w:r w:rsidRPr="00CB15F6">
        <w:rPr>
          <w:rFonts w:ascii="Times New Roman" w:eastAsia="Times New Roman" w:hAnsi="Times New Roman" w:cs="Times New Roman"/>
          <w:sz w:val="24"/>
          <w:szCs w:val="24"/>
          <w:lang w:eastAsia="fr-FR"/>
        </w:rPr>
        <w:t xml:space="preserve"> une possible traduction, sur le plan matrimonial, du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séparatisme social</w:t>
      </w:r>
      <w:r w:rsidRPr="00CB15F6">
        <w:rPr>
          <w:rFonts w:ascii="Times New Roman" w:eastAsia="Times New Roman" w:hAnsi="Times New Roman" w:cs="Times New Roman"/>
          <w:sz w:val="24"/>
          <w:szCs w:val="24"/>
          <w:lang w:eastAsia="fr-FR"/>
        </w:rPr>
        <w:t> </w:t>
      </w:r>
      <w:r w:rsidRPr="00CB15F6">
        <w:rPr>
          <w:rFonts w:ascii="Times New Roman" w:eastAsia="Times New Roman" w:hAnsi="Times New Roman" w:cs="Times New Roman"/>
          <w:i/>
          <w:iCs/>
          <w:sz w:val="24"/>
          <w:szCs w:val="24"/>
          <w:lang w:eastAsia="fr-FR"/>
        </w:rPr>
        <w:t>»</w:t>
      </w:r>
      <w:r w:rsidRPr="00CB15F6">
        <w:rPr>
          <w:rFonts w:ascii="Times New Roman" w:eastAsia="Times New Roman" w:hAnsi="Times New Roman" w:cs="Times New Roman"/>
          <w:sz w:val="24"/>
          <w:szCs w:val="24"/>
          <w:lang w:eastAsia="fr-FR"/>
        </w:rPr>
        <w:t xml:space="preserve"> dont les classes </w:t>
      </w:r>
      <w:r w:rsidRPr="00F94164">
        <w:rPr>
          <w:rFonts w:ascii="Times New Roman" w:eastAsia="Times New Roman" w:hAnsi="Times New Roman" w:cs="Times New Roman"/>
          <w:sz w:val="24"/>
          <w:szCs w:val="24"/>
          <w:lang w:eastAsia="fr-FR"/>
        </w:rPr>
        <w:t>supérieures font déjà preuve en matière de revenus (</w:t>
      </w:r>
      <w:hyperlink r:id="rId13" w:tgtFrame="_blank" w:history="1">
        <w:r w:rsidRPr="00F94164">
          <w:rPr>
            <w:rFonts w:ascii="Times New Roman" w:eastAsia="Times New Roman" w:hAnsi="Times New Roman" w:cs="Times New Roman"/>
            <w:sz w:val="24"/>
            <w:szCs w:val="24"/>
            <w:lang w:eastAsia="fr-FR"/>
          </w:rPr>
          <w:t>qui ont fortement augmenté</w:t>
        </w:r>
      </w:hyperlink>
      <w:r w:rsidRPr="00F94164">
        <w:rPr>
          <w:rFonts w:ascii="Times New Roman" w:eastAsia="Times New Roman" w:hAnsi="Times New Roman" w:cs="Times New Roman"/>
          <w:sz w:val="24"/>
          <w:szCs w:val="24"/>
          <w:lang w:eastAsia="fr-FR"/>
        </w:rPr>
        <w:t>) ou de logement (</w:t>
      </w:r>
      <w:hyperlink r:id="rId14" w:tgtFrame="_blank" w:history="1">
        <w:r w:rsidRPr="00F94164">
          <w:rPr>
            <w:rFonts w:ascii="Times New Roman" w:eastAsia="Times New Roman" w:hAnsi="Times New Roman" w:cs="Times New Roman"/>
            <w:sz w:val="24"/>
            <w:szCs w:val="24"/>
            <w:lang w:eastAsia="fr-FR"/>
          </w:rPr>
          <w:t>toujours plus ségrég</w:t>
        </w:r>
        <w:r>
          <w:rPr>
            <w:rFonts w:ascii="Times New Roman" w:eastAsia="Times New Roman" w:hAnsi="Times New Roman" w:cs="Times New Roman"/>
            <w:sz w:val="24"/>
            <w:szCs w:val="24"/>
            <w:lang w:eastAsia="fr-FR"/>
          </w:rPr>
          <w:t>u</w:t>
        </w:r>
        <w:r w:rsidRPr="00F94164">
          <w:rPr>
            <w:rFonts w:ascii="Times New Roman" w:eastAsia="Times New Roman" w:hAnsi="Times New Roman" w:cs="Times New Roman"/>
            <w:sz w:val="24"/>
            <w:szCs w:val="24"/>
            <w:lang w:eastAsia="fr-FR"/>
          </w:rPr>
          <w:t>é</w:t>
        </w:r>
      </w:hyperlink>
      <w:r w:rsidRPr="00F94164">
        <w:rPr>
          <w:rFonts w:ascii="Times New Roman" w:eastAsia="Times New Roman" w:hAnsi="Times New Roman" w:cs="Times New Roman"/>
          <w:sz w:val="24"/>
          <w:szCs w:val="24"/>
          <w:lang w:eastAsia="fr-FR"/>
        </w:rPr>
        <w:t>). La foudre ne tombe toujours pas au hasard, en particulier quand elle frappe au sommet de la pyramide sociale...</w:t>
      </w:r>
    </w:p>
    <w:p w:rsidR="00F130F2" w:rsidRDefault="00F130F2" w:rsidP="0056198C">
      <w:pPr>
        <w:jc w:val="both"/>
      </w:pPr>
    </w:p>
    <w:p w:rsidR="006C0E5E" w:rsidRDefault="006C0E5E" w:rsidP="0056198C">
      <w:pPr>
        <w:jc w:val="both"/>
      </w:pPr>
    </w:p>
    <w:p w:rsidR="00DA2BE9" w:rsidRPr="00DA2BE9" w:rsidRDefault="00156A8E" w:rsidP="0056198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3E40A9" w:rsidRDefault="003E40A9" w:rsidP="0056198C">
      <w:pPr>
        <w:pStyle w:val="Paragraphedeliste"/>
        <w:numPr>
          <w:ilvl w:val="0"/>
          <w:numId w:val="44"/>
        </w:numPr>
        <w:jc w:val="both"/>
      </w:pPr>
      <w:r w:rsidRPr="00A53020">
        <w:t xml:space="preserve">Qu’est-ce que l’homogamie ? </w:t>
      </w:r>
    </w:p>
    <w:p w:rsidR="003E40A9" w:rsidRPr="003E40A9" w:rsidRDefault="003E40A9" w:rsidP="0056198C">
      <w:pPr>
        <w:pStyle w:val="Paragraphedeliste"/>
        <w:numPr>
          <w:ilvl w:val="0"/>
          <w:numId w:val="44"/>
        </w:numPr>
        <w:jc w:val="both"/>
        <w:rPr>
          <w:rFonts w:eastAsia="Times New Roman" w:cs="Times New Roman"/>
          <w:lang w:eastAsia="fr-FR"/>
        </w:rPr>
      </w:pPr>
      <w:r w:rsidRPr="00A53020">
        <w:t>En quoi  l’expression </w:t>
      </w:r>
      <w:r w:rsidRPr="003E40A9">
        <w:rPr>
          <w:rFonts w:eastAsia="Times New Roman" w:cs="Times New Roman"/>
          <w:i/>
          <w:iCs/>
          <w:lang w:eastAsia="fr-FR"/>
        </w:rPr>
        <w:t>«</w:t>
      </w:r>
      <w:r w:rsidRPr="003E40A9">
        <w:rPr>
          <w:rFonts w:eastAsia="Times New Roman" w:cs="Times New Roman"/>
          <w:lang w:eastAsia="fr-FR"/>
        </w:rPr>
        <w:t> </w:t>
      </w:r>
      <w:r w:rsidRPr="003E40A9">
        <w:rPr>
          <w:rFonts w:eastAsia="Times New Roman" w:cs="Times New Roman"/>
          <w:i/>
          <w:iCs/>
          <w:lang w:eastAsia="fr-FR"/>
        </w:rPr>
        <w:t>la foudre, quand elle tombe, ne tombe pas n'importe où</w:t>
      </w:r>
      <w:r w:rsidRPr="003E40A9">
        <w:rPr>
          <w:rFonts w:eastAsia="Times New Roman" w:cs="Times New Roman"/>
          <w:lang w:eastAsia="fr-FR"/>
        </w:rPr>
        <w:t> » illustre-t-elle l’idée d’homogamie ?</w:t>
      </w:r>
    </w:p>
    <w:p w:rsidR="003E40A9" w:rsidRDefault="003E40A9" w:rsidP="0056198C">
      <w:pPr>
        <w:pStyle w:val="Paragraphedeliste"/>
        <w:numPr>
          <w:ilvl w:val="0"/>
          <w:numId w:val="44"/>
        </w:numPr>
        <w:jc w:val="both"/>
      </w:pPr>
      <w:r w:rsidRPr="003E40A9">
        <w:rPr>
          <w:rFonts w:eastAsia="Times New Roman" w:cs="Times New Roman"/>
          <w:lang w:eastAsia="fr-FR"/>
        </w:rPr>
        <w:t>R</w:t>
      </w:r>
      <w:r w:rsidRPr="00A53020">
        <w:t>elevez dans le texte les données qui permettent de parler d’un déclin de l’homogamie.</w:t>
      </w:r>
    </w:p>
    <w:p w:rsidR="003E40A9" w:rsidRDefault="003E40A9" w:rsidP="0056198C">
      <w:pPr>
        <w:pStyle w:val="Paragraphedeliste"/>
        <w:numPr>
          <w:ilvl w:val="0"/>
          <w:numId w:val="44"/>
        </w:numPr>
        <w:jc w:val="both"/>
      </w:pPr>
      <w:r>
        <w:t>Que signifie la phrase soulignée dans le texte ?</w:t>
      </w:r>
    </w:p>
    <w:p w:rsidR="003E40A9" w:rsidRDefault="003E40A9" w:rsidP="0056198C">
      <w:pPr>
        <w:pStyle w:val="Paragraphedeliste"/>
        <w:numPr>
          <w:ilvl w:val="0"/>
          <w:numId w:val="44"/>
        </w:numPr>
        <w:jc w:val="both"/>
      </w:pPr>
      <w:r>
        <w:t>Comment peut-on expliquer « l’</w:t>
      </w:r>
      <w:proofErr w:type="spellStart"/>
      <w:r>
        <w:t>entre-soi</w:t>
      </w:r>
      <w:proofErr w:type="spellEnd"/>
      <w:r>
        <w:t xml:space="preserve"> des nantis »  en matière de choix du conjoint ? </w:t>
      </w:r>
      <w:r w:rsidR="004D47CE" w:rsidRPr="004D47CE">
        <w:rPr>
          <w:i/>
        </w:rPr>
        <w:t xml:space="preserve">Vous </w:t>
      </w:r>
      <w:r w:rsidR="004D47CE">
        <w:rPr>
          <w:i/>
        </w:rPr>
        <w:t>devez</w:t>
      </w:r>
      <w:r w:rsidR="004D47CE" w:rsidRPr="004D47CE">
        <w:rPr>
          <w:i/>
        </w:rPr>
        <w:t xml:space="preserve"> mobiliser la notion de réseau social</w:t>
      </w:r>
      <w:r w:rsidR="004D47CE">
        <w:rPr>
          <w:i/>
        </w:rPr>
        <w:t xml:space="preserve"> </w:t>
      </w:r>
      <w:r w:rsidR="004D47CE" w:rsidRPr="004D47CE">
        <w:rPr>
          <w:i/>
        </w:rPr>
        <w:t>dans votre réponse</w:t>
      </w:r>
      <w:r w:rsidR="004D47CE">
        <w:rPr>
          <w:i/>
        </w:rPr>
        <w:t>.</w:t>
      </w:r>
    </w:p>
    <w:p w:rsidR="003E40A9" w:rsidRPr="003E40A9" w:rsidRDefault="003E40A9" w:rsidP="0056198C">
      <w:pPr>
        <w:pStyle w:val="Paragraphedeliste"/>
        <w:autoSpaceDE w:val="0"/>
        <w:autoSpaceDN w:val="0"/>
        <w:adjustRightInd w:val="0"/>
        <w:spacing w:after="0" w:line="240" w:lineRule="auto"/>
        <w:jc w:val="both"/>
        <w:rPr>
          <w:rFonts w:ascii="OfficinaSansStd-Book" w:hAnsi="OfficinaSansStd-Book" w:cs="OfficinaSansStd-Book"/>
          <w:sz w:val="19"/>
          <w:szCs w:val="19"/>
        </w:rPr>
      </w:pPr>
    </w:p>
    <w:p w:rsidR="00860A70" w:rsidRDefault="00860A70" w:rsidP="0056198C">
      <w:pPr>
        <w:pStyle w:val="Paragraphedeliste"/>
        <w:jc w:val="both"/>
      </w:pPr>
    </w:p>
    <w:p w:rsidR="00860A70" w:rsidRDefault="00860A70" w:rsidP="0056198C">
      <w:pPr>
        <w:pStyle w:val="Paragraphedeliste"/>
        <w:jc w:val="both"/>
      </w:pPr>
    </w:p>
    <w:p w:rsidR="00FE22EA" w:rsidRDefault="00FE22EA" w:rsidP="0056198C">
      <w:pPr>
        <w:pStyle w:val="Paragraphedeliste"/>
        <w:jc w:val="both"/>
      </w:pPr>
    </w:p>
    <w:p w:rsidR="00FE22EA" w:rsidRDefault="00FE22EA" w:rsidP="0056198C">
      <w:pPr>
        <w:pStyle w:val="Paragraphedeliste"/>
        <w:jc w:val="both"/>
      </w:pPr>
    </w:p>
    <w:p w:rsidR="00FE22EA" w:rsidRDefault="00FE22EA" w:rsidP="0056198C">
      <w:pPr>
        <w:pStyle w:val="Paragraphedeliste"/>
        <w:jc w:val="both"/>
      </w:pPr>
    </w:p>
    <w:p w:rsidR="00FE22EA" w:rsidRDefault="00FE22EA" w:rsidP="0056198C">
      <w:pPr>
        <w:pStyle w:val="Paragraphedeliste"/>
        <w:jc w:val="both"/>
      </w:pPr>
    </w:p>
    <w:p w:rsidR="00FE22EA" w:rsidRDefault="00FE22EA" w:rsidP="0056198C">
      <w:pPr>
        <w:pStyle w:val="Paragraphedeliste"/>
        <w:jc w:val="both"/>
      </w:pPr>
    </w:p>
    <w:p w:rsidR="00FE22EA" w:rsidRDefault="00FE22EA" w:rsidP="0056198C">
      <w:pPr>
        <w:pStyle w:val="Paragraphedeliste"/>
        <w:jc w:val="both"/>
      </w:pPr>
    </w:p>
    <w:p w:rsidR="0056198C" w:rsidRDefault="0056198C" w:rsidP="0056198C">
      <w:pPr>
        <w:jc w:val="both"/>
      </w:pPr>
      <w:r>
        <w:br w:type="page"/>
      </w:r>
    </w:p>
    <w:p w:rsidR="00D54721" w:rsidRPr="00D54721" w:rsidRDefault="00156A8E" w:rsidP="0056198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3E40A9" w:rsidRPr="00A53020" w:rsidRDefault="003E40A9" w:rsidP="0056198C">
      <w:pPr>
        <w:pStyle w:val="Paragraphedeliste"/>
        <w:numPr>
          <w:ilvl w:val="0"/>
          <w:numId w:val="45"/>
        </w:numPr>
        <w:jc w:val="both"/>
      </w:pPr>
      <w:r>
        <w:t>L’homogamie est la tendance à s’unir avec un conjoint du même milieu social que soi. Elle peut être illustrée par l’expression « Qui se ressemble (socialement) s’as</w:t>
      </w:r>
      <w:r w:rsidR="0056198C">
        <w:t xml:space="preserve">semble ». Le milieu social peut </w:t>
      </w:r>
      <w:r>
        <w:t>être appréhendé par l’appartenance socio-professionnelle, par le niveau de diplôme, de revenu…</w:t>
      </w:r>
    </w:p>
    <w:p w:rsidR="003E40A9" w:rsidRPr="003E40A9" w:rsidRDefault="003E40A9" w:rsidP="0056198C">
      <w:pPr>
        <w:pStyle w:val="Paragraphedeliste"/>
        <w:numPr>
          <w:ilvl w:val="0"/>
          <w:numId w:val="45"/>
        </w:numPr>
        <w:jc w:val="both"/>
        <w:rPr>
          <w:rFonts w:eastAsia="Times New Roman" w:cs="Times New Roman"/>
          <w:lang w:eastAsia="fr-FR"/>
        </w:rPr>
      </w:pPr>
      <w:r w:rsidRPr="003E40A9">
        <w:rPr>
          <w:rFonts w:eastAsia="Times New Roman" w:cs="Times New Roman"/>
          <w:lang w:eastAsia="fr-FR"/>
        </w:rPr>
        <w:t xml:space="preserve">Cette expression signifie que, bien que le choix du conjoint soit aujourd’hui dicté par le sentiment amoureux (« la foudre ») et non imposé par la famille,  les individus ne tombent pas amoureux « au hasard » mais ont tendance à être attirés par des personnes du même milieu social qu’eux. </w:t>
      </w:r>
    </w:p>
    <w:p w:rsidR="003E40A9" w:rsidRPr="003E40A9" w:rsidRDefault="003E40A9" w:rsidP="0056198C">
      <w:pPr>
        <w:pStyle w:val="Paragraphedeliste"/>
        <w:numPr>
          <w:ilvl w:val="0"/>
          <w:numId w:val="45"/>
        </w:numPr>
        <w:spacing w:before="100" w:beforeAutospacing="1" w:after="100" w:afterAutospacing="1" w:line="240" w:lineRule="auto"/>
        <w:jc w:val="both"/>
        <w:rPr>
          <w:rFonts w:eastAsia="Times New Roman" w:cs="Times New Roman"/>
          <w:lang w:eastAsia="fr-FR"/>
        </w:rPr>
      </w:pPr>
      <w:r w:rsidRPr="003E40A9">
        <w:rPr>
          <w:rFonts w:eastAsia="Times New Roman" w:cs="Times New Roman"/>
          <w:lang w:eastAsia="fr-FR"/>
        </w:rPr>
        <w:t xml:space="preserve">Le texte cite des données montrant un net recul de l’homogamie entre 1969 et 2011, que l’on prenne le critère du diplôme ou celui de la PCS. Par exemple, alors que près de la moitié des couples étaient formés de conjoints ayant le même niveau de diplôme en 1969, ils ne sont plus qu’un quart environ dans ce cas en 2011, soit presque deux fois moins. Inversement, on note une nette augmentation du pourcentage de couples « mixtes » en termes socio-professionnels : </w:t>
      </w:r>
      <w:r w:rsidRPr="003E40A9">
        <w:rPr>
          <w:rFonts w:eastAsia="Times New Roman" w:cs="Times New Roman"/>
          <w:i/>
          <w:iCs/>
          <w:lang w:eastAsia="fr-FR"/>
        </w:rPr>
        <w:t>«</w:t>
      </w:r>
      <w:r w:rsidRPr="003E40A9">
        <w:rPr>
          <w:rFonts w:eastAsia="Times New Roman" w:cs="Times New Roman"/>
          <w:lang w:eastAsia="fr-FR"/>
        </w:rPr>
        <w:t> </w:t>
      </w:r>
      <w:r w:rsidRPr="003E40A9">
        <w:rPr>
          <w:rFonts w:eastAsia="Times New Roman" w:cs="Times New Roman"/>
          <w:i/>
          <w:iCs/>
          <w:lang w:eastAsia="fr-FR"/>
        </w:rPr>
        <w:t xml:space="preserve">la proportion des couples associant un membre des cadres et professions intellectuelles supérieures </w:t>
      </w:r>
      <w:r w:rsidRPr="003E40A9">
        <w:rPr>
          <w:rFonts w:eastAsia="Times New Roman" w:cs="Times New Roman"/>
          <w:lang w:eastAsia="fr-FR"/>
        </w:rPr>
        <w:t>(…)</w:t>
      </w:r>
      <w:r w:rsidRPr="003E40A9">
        <w:rPr>
          <w:rFonts w:eastAsia="Times New Roman" w:cs="Times New Roman"/>
          <w:i/>
          <w:iCs/>
          <w:lang w:eastAsia="fr-FR"/>
        </w:rPr>
        <w:t xml:space="preserve"> et un membre des classes populaires (…) a plus que doublé</w:t>
      </w:r>
      <w:r w:rsidRPr="003E40A9">
        <w:rPr>
          <w:rFonts w:eastAsia="Times New Roman" w:cs="Times New Roman"/>
          <w:lang w:eastAsia="fr-FR"/>
        </w:rPr>
        <w:t> </w:t>
      </w:r>
      <w:r w:rsidRPr="003E40A9">
        <w:rPr>
          <w:rFonts w:eastAsia="Times New Roman" w:cs="Times New Roman"/>
          <w:i/>
          <w:iCs/>
          <w:lang w:eastAsia="fr-FR"/>
        </w:rPr>
        <w:t>»</w:t>
      </w:r>
      <w:r w:rsidRPr="003E40A9">
        <w:rPr>
          <w:rFonts w:eastAsia="Times New Roman" w:cs="Times New Roman"/>
          <w:lang w:eastAsia="fr-FR"/>
        </w:rPr>
        <w:t>, passant de 3 % à 8 % sur la période.</w:t>
      </w:r>
    </w:p>
    <w:p w:rsidR="003E40A9" w:rsidRDefault="003E40A9" w:rsidP="0056198C">
      <w:pPr>
        <w:pStyle w:val="Paragraphedeliste"/>
        <w:numPr>
          <w:ilvl w:val="0"/>
          <w:numId w:val="45"/>
        </w:numPr>
        <w:jc w:val="both"/>
      </w:pPr>
      <w:r>
        <w:t>Les élites scolaires et patrimoniales sont les plus diplômés (issus des grandes écoles comme Polytechnique, HEC, ESSEC, ENA…) et les plus fortunés (héritiers d’un patrimoine familial).  « L’affaiblissement des frontières sociales en matière de conjugalité » renvoie au recul de l’homogamie.  Depuis la fin des années 1960, on observe plus de brassage social, de mélange des catégories sociales</w:t>
      </w:r>
      <w:r w:rsidRPr="00F515CB">
        <w:t xml:space="preserve"> </w:t>
      </w:r>
      <w:r>
        <w:t>dans la société française. Mais ce mouvement n’est pas généralisé : il ne s’observe pas dans les classes supérieures qui cultivent « l’</w:t>
      </w:r>
      <w:proofErr w:type="spellStart"/>
      <w:r>
        <w:t>entre-soi</w:t>
      </w:r>
      <w:proofErr w:type="spellEnd"/>
      <w:r>
        <w:t> ».</w:t>
      </w:r>
    </w:p>
    <w:p w:rsidR="003E40A9" w:rsidRPr="003E40A9" w:rsidRDefault="003E40A9" w:rsidP="0056198C">
      <w:pPr>
        <w:pStyle w:val="Paragraphedeliste"/>
        <w:numPr>
          <w:ilvl w:val="0"/>
          <w:numId w:val="45"/>
        </w:numPr>
        <w:autoSpaceDE w:val="0"/>
        <w:autoSpaceDN w:val="0"/>
        <w:adjustRightInd w:val="0"/>
        <w:spacing w:after="0" w:line="240" w:lineRule="auto"/>
        <w:jc w:val="both"/>
        <w:rPr>
          <w:rFonts w:cs="OfficinaSansStd-Book"/>
        </w:rPr>
      </w:pPr>
      <w:r w:rsidRPr="003E40A9">
        <w:rPr>
          <w:rFonts w:cs="OfficinaSansStd-Book"/>
        </w:rPr>
        <w:t xml:space="preserve">Les réseaux sociaux dans lesquels les individus s’inscrivent et les formes de sociabilité qu’ils y nouent ont une influence sur la formation des couples. On a plus de chance (en termes de probabilité) de rencontrer et d’être attiré par une personne du même milieu social que soi parce que les lieux et les personnes fréquentés par les individus sont socialement différenciés. C’est le cas par exemple des lieux d’études, de résidence, de loisirs, de vacances... Ainsi, le texte fait référence aux grandes écoles : à l’inverse du mouvement général de démocratisation scolaire, leur recrutement reste très fermé (voire de plus en plus) aux enfants de milieux populaires ; s’y côtoieront donc quasi-exclusivement des jeunes d’origine sociale très favorisée. </w:t>
      </w:r>
    </w:p>
    <w:p w:rsidR="003E40A9" w:rsidRPr="003E40A9" w:rsidRDefault="003E40A9" w:rsidP="0056198C">
      <w:pPr>
        <w:pStyle w:val="Paragraphedeliste"/>
        <w:autoSpaceDE w:val="0"/>
        <w:autoSpaceDN w:val="0"/>
        <w:adjustRightInd w:val="0"/>
        <w:spacing w:after="0" w:line="240" w:lineRule="auto"/>
        <w:jc w:val="both"/>
        <w:rPr>
          <w:rFonts w:cs="OfficinaSansStd-Book"/>
        </w:rPr>
      </w:pPr>
      <w:r w:rsidRPr="003E40A9">
        <w:rPr>
          <w:rFonts w:cs="OfficinaSansStd-Book"/>
        </w:rPr>
        <w:t>Ce « séparatisme social » des classes supérieures peut être analysé comme une stratégie de reproduction sociale : soucieux de transmettre leur capital économique, culturel et social, les plus favorisés entretiennent leur  réseau à travers leur part</w:t>
      </w:r>
      <w:r w:rsidR="0056198C">
        <w:rPr>
          <w:rFonts w:cs="OfficinaSansStd-Book"/>
        </w:rPr>
        <w:t>icipation à des cercles, des évé</w:t>
      </w:r>
      <w:r w:rsidRPr="003E40A9">
        <w:rPr>
          <w:rFonts w:cs="OfficinaSansStd-Book"/>
        </w:rPr>
        <w:t>nements mondains… qui concourent à l’homogamie (</w:t>
      </w:r>
      <w:r w:rsidR="004F5516">
        <w:rPr>
          <w:rFonts w:cs="OfficinaSansStd-Book"/>
        </w:rPr>
        <w:t>on peut faire référence aux</w:t>
      </w:r>
      <w:r w:rsidRPr="003E40A9">
        <w:rPr>
          <w:rFonts w:cs="OfficinaSansStd-Book"/>
        </w:rPr>
        <w:t xml:space="preserve"> travaux de</w:t>
      </w:r>
      <w:r w:rsidR="004F5516">
        <w:rPr>
          <w:rFonts w:cs="OfficinaSansStd-Book"/>
        </w:rPr>
        <w:t>s sociologues</w:t>
      </w:r>
      <w:r w:rsidRPr="003E40A9">
        <w:rPr>
          <w:rFonts w:cs="OfficinaSansStd-Book"/>
        </w:rPr>
        <w:t xml:space="preserve"> Pinçon et Pinçon-Charlot).  </w:t>
      </w:r>
    </w:p>
    <w:p w:rsidR="00693F31" w:rsidRPr="003E40A9" w:rsidRDefault="00693F31" w:rsidP="0056198C">
      <w:pPr>
        <w:pStyle w:val="Paragraphedeliste"/>
        <w:jc w:val="both"/>
      </w:pPr>
    </w:p>
    <w:sectPr w:rsidR="00693F31" w:rsidRPr="003E40A9" w:rsidSect="00BD351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36" w:rsidRDefault="00920436">
      <w:pPr>
        <w:spacing w:after="0" w:line="240" w:lineRule="auto"/>
      </w:pPr>
      <w:r>
        <w:separator/>
      </w:r>
    </w:p>
  </w:endnote>
  <w:endnote w:type="continuationSeparator" w:id="0">
    <w:p w:rsidR="00920436" w:rsidRDefault="009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ans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56198C">
          <w:rPr>
            <w:noProof/>
          </w:rPr>
          <w:t>3</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36" w:rsidRDefault="00920436">
      <w:pPr>
        <w:spacing w:after="0" w:line="240" w:lineRule="auto"/>
      </w:pPr>
      <w:r>
        <w:separator/>
      </w:r>
    </w:p>
  </w:footnote>
  <w:footnote w:type="continuationSeparator" w:id="0">
    <w:p w:rsidR="00920436" w:rsidRDefault="00920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692D16"/>
    <w:multiLevelType w:val="hybridMultilevel"/>
    <w:tmpl w:val="3B78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2B6787C"/>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B62551E"/>
    <w:multiLevelType w:val="hybridMultilevel"/>
    <w:tmpl w:val="9AE6F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54C2F4E"/>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28"/>
  </w:num>
  <w:num w:numId="3">
    <w:abstractNumId w:val="8"/>
  </w:num>
  <w:num w:numId="4">
    <w:abstractNumId w:val="43"/>
  </w:num>
  <w:num w:numId="5">
    <w:abstractNumId w:val="1"/>
  </w:num>
  <w:num w:numId="6">
    <w:abstractNumId w:val="33"/>
  </w:num>
  <w:num w:numId="7">
    <w:abstractNumId w:val="25"/>
  </w:num>
  <w:num w:numId="8">
    <w:abstractNumId w:val="29"/>
  </w:num>
  <w:num w:numId="9">
    <w:abstractNumId w:val="42"/>
  </w:num>
  <w:num w:numId="10">
    <w:abstractNumId w:val="19"/>
  </w:num>
  <w:num w:numId="11">
    <w:abstractNumId w:val="15"/>
  </w:num>
  <w:num w:numId="12">
    <w:abstractNumId w:val="41"/>
  </w:num>
  <w:num w:numId="13">
    <w:abstractNumId w:val="32"/>
  </w:num>
  <w:num w:numId="14">
    <w:abstractNumId w:val="34"/>
  </w:num>
  <w:num w:numId="15">
    <w:abstractNumId w:val="11"/>
  </w:num>
  <w:num w:numId="16">
    <w:abstractNumId w:val="9"/>
  </w:num>
  <w:num w:numId="17">
    <w:abstractNumId w:val="2"/>
  </w:num>
  <w:num w:numId="18">
    <w:abstractNumId w:val="17"/>
  </w:num>
  <w:num w:numId="19">
    <w:abstractNumId w:val="12"/>
  </w:num>
  <w:num w:numId="20">
    <w:abstractNumId w:val="27"/>
  </w:num>
  <w:num w:numId="21">
    <w:abstractNumId w:val="18"/>
  </w:num>
  <w:num w:numId="22">
    <w:abstractNumId w:val="35"/>
  </w:num>
  <w:num w:numId="23">
    <w:abstractNumId w:val="38"/>
  </w:num>
  <w:num w:numId="24">
    <w:abstractNumId w:val="31"/>
  </w:num>
  <w:num w:numId="25">
    <w:abstractNumId w:val="37"/>
  </w:num>
  <w:num w:numId="26">
    <w:abstractNumId w:val="21"/>
  </w:num>
  <w:num w:numId="27">
    <w:abstractNumId w:val="22"/>
  </w:num>
  <w:num w:numId="28">
    <w:abstractNumId w:val="10"/>
  </w:num>
  <w:num w:numId="29">
    <w:abstractNumId w:val="30"/>
  </w:num>
  <w:num w:numId="30">
    <w:abstractNumId w:val="7"/>
  </w:num>
  <w:num w:numId="31">
    <w:abstractNumId w:val="5"/>
  </w:num>
  <w:num w:numId="32">
    <w:abstractNumId w:val="23"/>
  </w:num>
  <w:num w:numId="33">
    <w:abstractNumId w:val="44"/>
  </w:num>
  <w:num w:numId="34">
    <w:abstractNumId w:val="3"/>
  </w:num>
  <w:num w:numId="35">
    <w:abstractNumId w:val="24"/>
  </w:num>
  <w:num w:numId="36">
    <w:abstractNumId w:val="6"/>
  </w:num>
  <w:num w:numId="37">
    <w:abstractNumId w:val="40"/>
  </w:num>
  <w:num w:numId="38">
    <w:abstractNumId w:val="14"/>
  </w:num>
  <w:num w:numId="39">
    <w:abstractNumId w:val="4"/>
  </w:num>
  <w:num w:numId="40">
    <w:abstractNumId w:val="26"/>
  </w:num>
  <w:num w:numId="41">
    <w:abstractNumId w:val="0"/>
  </w:num>
  <w:num w:numId="42">
    <w:abstractNumId w:val="36"/>
  </w:num>
  <w:num w:numId="43">
    <w:abstractNumId w:val="13"/>
  </w:num>
  <w:num w:numId="44">
    <w:abstractNumId w:val="3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C42"/>
    <w:rsid w:val="000E7CED"/>
    <w:rsid w:val="000F0820"/>
    <w:rsid w:val="000F139D"/>
    <w:rsid w:val="000F1B44"/>
    <w:rsid w:val="000F38BB"/>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98C"/>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436"/>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170"/>
    <w:rsid w:val="00B2359A"/>
    <w:rsid w:val="00B23F88"/>
    <w:rsid w:val="00B246D4"/>
    <w:rsid w:val="00B25390"/>
    <w:rsid w:val="00B27781"/>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viedesidees.fr/Des-riches-de-plus-en-plus-rich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irn.info/resume.php?ID_ARTICLE=POPU_1404_0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irn.info/article.php?ID_ARTICLE=SOCO_047_010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airn.info/resume.php?ID_ARTICLE=RFS_553_0459" TargetMode="External"/><Relationship Id="rId4" Type="http://schemas.microsoft.com/office/2007/relationships/stylesWithEffects" Target="stylesWithEffects.xml"/><Relationship Id="rId9" Type="http://schemas.openxmlformats.org/officeDocument/2006/relationships/hyperlink" Target="http://www.persee.fr/web/revues/home/prescript/article/pop_0032-4663_1964_num_19_4_8453" TargetMode="External"/><Relationship Id="rId14" Type="http://schemas.openxmlformats.org/officeDocument/2006/relationships/hyperlink" Target="http://www.cairn.info/revue-societes-contemporaines-2006-2-p-69.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930A-A768-4A14-997D-DCBDC196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4324</TotalTime>
  <Pages>1</Pages>
  <Words>1310</Words>
  <Characters>7209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275</cp:revision>
  <cp:lastPrinted>2015-05-21T07:37:00Z</cp:lastPrinted>
  <dcterms:created xsi:type="dcterms:W3CDTF">2014-04-30T08:18:00Z</dcterms:created>
  <dcterms:modified xsi:type="dcterms:W3CDTF">2015-05-21T09:06:00Z</dcterms:modified>
</cp:coreProperties>
</file>