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E9B" w:rsidRPr="00192CFD" w:rsidRDefault="00C91E9B" w:rsidP="00C91E9B">
      <w:pPr>
        <w:spacing w:before="100" w:beforeAutospacing="1" w:after="100" w:afterAutospacing="1" w:line="240" w:lineRule="auto"/>
        <w:outlineLvl w:val="0"/>
        <w:rPr>
          <w:rFonts w:ascii="Times New Roman" w:eastAsia="Times New Roman" w:hAnsi="Times New Roman" w:cs="Times New Roman"/>
          <w:b/>
          <w:bCs/>
          <w:kern w:val="36"/>
          <w:sz w:val="28"/>
          <w:szCs w:val="28"/>
          <w:lang w:eastAsia="fr-FR"/>
        </w:rPr>
      </w:pPr>
      <w:r w:rsidRPr="00192CFD">
        <w:rPr>
          <w:rFonts w:ascii="Times New Roman" w:eastAsia="Times New Roman" w:hAnsi="Times New Roman" w:cs="Times New Roman"/>
          <w:b/>
          <w:bCs/>
          <w:kern w:val="36"/>
          <w:sz w:val="28"/>
          <w:szCs w:val="28"/>
          <w:lang w:eastAsia="fr-FR"/>
        </w:rPr>
        <w:t>Pourquoi l'Europe ne peut plus vivre en dessous de ses moyens</w:t>
      </w:r>
    </w:p>
    <w:p w:rsidR="00F40954" w:rsidRPr="00192CFD" w:rsidRDefault="004A760A" w:rsidP="00662639">
      <w:pPr>
        <w:jc w:val="right"/>
        <w:rPr>
          <w:rFonts w:ascii="Times New Roman" w:eastAsia="Times New Roman" w:hAnsi="Times New Roman" w:cs="Times New Roman"/>
          <w:sz w:val="24"/>
          <w:szCs w:val="24"/>
          <w:lang w:eastAsia="fr-FR"/>
        </w:rPr>
      </w:pPr>
      <w:hyperlink r:id="rId8" w:history="1">
        <w:r w:rsidR="00C91E9B" w:rsidRPr="00192CFD">
          <w:rPr>
            <w:rFonts w:ascii="Times New Roman" w:eastAsia="Times New Roman" w:hAnsi="Times New Roman" w:cs="Times New Roman"/>
            <w:sz w:val="24"/>
            <w:szCs w:val="24"/>
            <w:lang w:eastAsia="fr-FR"/>
          </w:rPr>
          <w:t>Mathias Thépot</w:t>
        </w:r>
      </w:hyperlink>
      <w:r w:rsidR="00662639" w:rsidRPr="00192CFD">
        <w:rPr>
          <w:rFonts w:ascii="Times New Roman" w:eastAsia="Times New Roman" w:hAnsi="Times New Roman" w:cs="Times New Roman"/>
          <w:sz w:val="24"/>
          <w:szCs w:val="24"/>
          <w:lang w:eastAsia="fr-FR"/>
        </w:rPr>
        <w:t xml:space="preserve">, </w:t>
      </w:r>
      <w:r w:rsidR="00662639" w:rsidRPr="00BC01D7">
        <w:rPr>
          <w:rFonts w:ascii="Times New Roman" w:eastAsia="Times New Roman" w:hAnsi="Times New Roman" w:cs="Times New Roman"/>
          <w:i/>
          <w:sz w:val="24"/>
          <w:szCs w:val="24"/>
          <w:lang w:eastAsia="fr-FR"/>
        </w:rPr>
        <w:t>La Tribune</w:t>
      </w:r>
      <w:r w:rsidR="00662639" w:rsidRPr="00192CFD">
        <w:rPr>
          <w:rFonts w:ascii="Times New Roman" w:eastAsia="Times New Roman" w:hAnsi="Times New Roman" w:cs="Times New Roman"/>
          <w:sz w:val="24"/>
          <w:szCs w:val="24"/>
          <w:lang w:eastAsia="fr-FR"/>
        </w:rPr>
        <w:t>, 11</w:t>
      </w:r>
      <w:r w:rsidR="003D5D82">
        <w:rPr>
          <w:rFonts w:ascii="Times New Roman" w:eastAsia="Times New Roman" w:hAnsi="Times New Roman" w:cs="Times New Roman"/>
          <w:sz w:val="24"/>
          <w:szCs w:val="24"/>
          <w:lang w:eastAsia="fr-FR"/>
        </w:rPr>
        <w:t> </w:t>
      </w:r>
      <w:r w:rsidR="00662639" w:rsidRPr="00192CFD">
        <w:rPr>
          <w:rFonts w:ascii="Times New Roman" w:eastAsia="Times New Roman" w:hAnsi="Times New Roman" w:cs="Times New Roman"/>
          <w:sz w:val="24"/>
          <w:szCs w:val="24"/>
          <w:lang w:eastAsia="fr-FR"/>
        </w:rPr>
        <w:t>décembre 2015</w:t>
      </w:r>
      <w:r w:rsidR="00BC01D7">
        <w:rPr>
          <w:rFonts w:ascii="Times New Roman" w:eastAsia="Times New Roman" w:hAnsi="Times New Roman" w:cs="Times New Roman"/>
          <w:sz w:val="24"/>
          <w:szCs w:val="24"/>
          <w:lang w:eastAsia="fr-FR"/>
        </w:rPr>
        <w:t>.</w:t>
      </w:r>
    </w:p>
    <w:p w:rsidR="00C91E9B" w:rsidRPr="00192CFD" w:rsidRDefault="00662639" w:rsidP="00BC01D7">
      <w:pPr>
        <w:jc w:val="both"/>
        <w:rPr>
          <w:rFonts w:ascii="Times New Roman" w:hAnsi="Times New Roman" w:cs="Times New Roman"/>
          <w:b/>
          <w:sz w:val="24"/>
          <w:szCs w:val="24"/>
        </w:rPr>
      </w:pPr>
      <w:r w:rsidRPr="00192CFD">
        <w:rPr>
          <w:rFonts w:ascii="Times New Roman" w:hAnsi="Times New Roman" w:cs="Times New Roman"/>
          <w:b/>
          <w:sz w:val="24"/>
          <w:szCs w:val="24"/>
        </w:rPr>
        <w:t>I</w:t>
      </w:r>
      <w:r w:rsidR="00C91E9B" w:rsidRPr="00192CFD">
        <w:rPr>
          <w:rFonts w:ascii="Times New Roman" w:hAnsi="Times New Roman" w:cs="Times New Roman"/>
          <w:b/>
          <w:sz w:val="24"/>
          <w:szCs w:val="24"/>
        </w:rPr>
        <w:t>l est temps que l'Europe réinvestisse dans la croissance, et mette un terme à sa tendance à l'accumulation des excédents, selon l'Observatoire français des conjonctures économiques (OFCE).</w:t>
      </w:r>
    </w:p>
    <w:p w:rsidR="00C91E9B" w:rsidRPr="00192CFD" w:rsidRDefault="00662639" w:rsidP="00BC01D7">
      <w:pPr>
        <w:jc w:val="both"/>
        <w:rPr>
          <w:rFonts w:ascii="Times New Roman" w:hAnsi="Times New Roman" w:cs="Times New Roman"/>
          <w:sz w:val="24"/>
          <w:szCs w:val="24"/>
        </w:rPr>
      </w:pPr>
      <w:r w:rsidRPr="00192CFD">
        <w:rPr>
          <w:rFonts w:ascii="Times New Roman" w:hAnsi="Times New Roman" w:cs="Times New Roman"/>
          <w:sz w:val="24"/>
          <w:szCs w:val="24"/>
        </w:rPr>
        <w:t>I</w:t>
      </w:r>
      <w:r w:rsidR="00C91E9B" w:rsidRPr="00192CFD">
        <w:rPr>
          <w:rFonts w:ascii="Times New Roman" w:hAnsi="Times New Roman" w:cs="Times New Roman"/>
          <w:sz w:val="24"/>
          <w:szCs w:val="24"/>
        </w:rPr>
        <w:t>l est temps que la zone euro arrête de vivre en dessous de ses moyens et investisse</w:t>
      </w:r>
      <w:r w:rsidR="003D5D82">
        <w:rPr>
          <w:rFonts w:ascii="Times New Roman" w:hAnsi="Times New Roman" w:cs="Times New Roman"/>
          <w:sz w:val="24"/>
          <w:szCs w:val="24"/>
        </w:rPr>
        <w:t> </w:t>
      </w:r>
      <w:r w:rsidR="00C91E9B" w:rsidRPr="00192CFD">
        <w:rPr>
          <w:rFonts w:ascii="Times New Roman" w:hAnsi="Times New Roman" w:cs="Times New Roman"/>
          <w:sz w:val="24"/>
          <w:szCs w:val="24"/>
        </w:rPr>
        <w:t>! C'est en substance le message délivré jeudi 10</w:t>
      </w:r>
      <w:r w:rsidR="003D5D82">
        <w:rPr>
          <w:rFonts w:ascii="Times New Roman" w:hAnsi="Times New Roman" w:cs="Times New Roman"/>
          <w:sz w:val="24"/>
          <w:szCs w:val="24"/>
        </w:rPr>
        <w:t> </w:t>
      </w:r>
      <w:r w:rsidR="00C91E9B" w:rsidRPr="00192CFD">
        <w:rPr>
          <w:rFonts w:ascii="Times New Roman" w:hAnsi="Times New Roman" w:cs="Times New Roman"/>
          <w:sz w:val="24"/>
          <w:szCs w:val="24"/>
        </w:rPr>
        <w:t xml:space="preserve">décembre par l'Observatoire français des conjonctures économiques (OFCE), dans une étude intitulée </w:t>
      </w:r>
      <w:r w:rsidR="00C91E9B" w:rsidRPr="00BC01D7">
        <w:rPr>
          <w:rFonts w:ascii="Times New Roman" w:hAnsi="Times New Roman" w:cs="Times New Roman"/>
          <w:i/>
          <w:sz w:val="24"/>
          <w:szCs w:val="24"/>
        </w:rPr>
        <w:t>«</w:t>
      </w:r>
      <w:r w:rsidR="003D5D82" w:rsidRPr="00BC01D7">
        <w:rPr>
          <w:rFonts w:ascii="Times New Roman" w:hAnsi="Times New Roman" w:cs="Times New Roman"/>
          <w:i/>
          <w:sz w:val="24"/>
          <w:szCs w:val="24"/>
        </w:rPr>
        <w:t> </w:t>
      </w:r>
      <w:r w:rsidR="00C91E9B" w:rsidRPr="00BC01D7">
        <w:rPr>
          <w:rStyle w:val="Accentuation"/>
          <w:rFonts w:ascii="Times New Roman" w:hAnsi="Times New Roman" w:cs="Times New Roman"/>
          <w:i w:val="0"/>
          <w:sz w:val="24"/>
          <w:szCs w:val="24"/>
        </w:rPr>
        <w:t>donner une chance à la reprise</w:t>
      </w:r>
      <w:r w:rsidR="003D5D82" w:rsidRPr="00BC01D7">
        <w:rPr>
          <w:rStyle w:val="Accentuation"/>
          <w:rFonts w:ascii="Times New Roman" w:hAnsi="Times New Roman" w:cs="Times New Roman"/>
          <w:i w:val="0"/>
          <w:sz w:val="24"/>
          <w:szCs w:val="24"/>
        </w:rPr>
        <w:t> </w:t>
      </w:r>
      <w:r w:rsidR="00C91E9B" w:rsidRPr="00BC01D7">
        <w:rPr>
          <w:rFonts w:ascii="Times New Roman" w:hAnsi="Times New Roman" w:cs="Times New Roman"/>
          <w:i/>
          <w:sz w:val="24"/>
          <w:szCs w:val="24"/>
        </w:rPr>
        <w:t>»</w:t>
      </w:r>
      <w:r w:rsidR="00C91E9B" w:rsidRPr="00192CFD">
        <w:rPr>
          <w:rFonts w:ascii="Times New Roman" w:hAnsi="Times New Roman" w:cs="Times New Roman"/>
          <w:sz w:val="24"/>
          <w:szCs w:val="24"/>
        </w:rPr>
        <w:t xml:space="preserve"> en Europe, élaborée conjointement avec ses homologues de l'AK Wien (Autriche), l'ECLM (Danemark) et l'IMK (Allemagne). Ce groupe d'instituts </w:t>
      </w:r>
      <w:r w:rsidR="003D5D82">
        <w:rPr>
          <w:rFonts w:ascii="Times New Roman" w:hAnsi="Times New Roman" w:cs="Times New Roman"/>
          <w:sz w:val="24"/>
          <w:szCs w:val="24"/>
        </w:rPr>
        <w:t xml:space="preserve">– </w:t>
      </w:r>
      <w:r w:rsidR="00C91E9B" w:rsidRPr="00192CFD">
        <w:rPr>
          <w:rFonts w:ascii="Times New Roman" w:hAnsi="Times New Roman" w:cs="Times New Roman"/>
          <w:sz w:val="24"/>
          <w:szCs w:val="24"/>
        </w:rPr>
        <w:t xml:space="preserve">nommée IAGS </w:t>
      </w:r>
      <w:r w:rsidR="003D5D82">
        <w:rPr>
          <w:rFonts w:ascii="Times New Roman" w:hAnsi="Times New Roman" w:cs="Times New Roman"/>
          <w:sz w:val="24"/>
          <w:szCs w:val="24"/>
        </w:rPr>
        <w:t>–</w:t>
      </w:r>
      <w:r w:rsidR="00C91E9B" w:rsidRPr="00192CFD">
        <w:rPr>
          <w:rFonts w:ascii="Times New Roman" w:hAnsi="Times New Roman" w:cs="Times New Roman"/>
          <w:sz w:val="24"/>
          <w:szCs w:val="24"/>
        </w:rPr>
        <w:t xml:space="preserve"> vise en particulier le couple germano-bruxellois, responsable des politiques de restriction budgétaire au sein de la zone euro, et qui sont source d'échec.</w:t>
      </w:r>
    </w:p>
    <w:p w:rsidR="00C91E9B" w:rsidRPr="00192CFD" w:rsidRDefault="00C91E9B" w:rsidP="00BC01D7">
      <w:pPr>
        <w:pStyle w:val="Titre2"/>
        <w:spacing w:before="0"/>
        <w:jc w:val="both"/>
        <w:rPr>
          <w:rFonts w:ascii="Times New Roman" w:hAnsi="Times New Roman" w:cs="Times New Roman"/>
          <w:color w:val="auto"/>
          <w:sz w:val="24"/>
          <w:szCs w:val="24"/>
        </w:rPr>
      </w:pPr>
      <w:r w:rsidRPr="00192CFD">
        <w:rPr>
          <w:rFonts w:ascii="Times New Roman" w:hAnsi="Times New Roman" w:cs="Times New Roman"/>
          <w:color w:val="auto"/>
          <w:sz w:val="24"/>
          <w:szCs w:val="24"/>
        </w:rPr>
        <w:t>Reprise molle</w:t>
      </w:r>
    </w:p>
    <w:p w:rsidR="00C91E9B" w:rsidRPr="00192CFD" w:rsidRDefault="00C91E9B" w:rsidP="00BC01D7">
      <w:pPr>
        <w:pStyle w:val="NormalWeb"/>
        <w:spacing w:before="0" w:beforeAutospacing="0" w:after="0" w:afterAutospacing="0"/>
        <w:jc w:val="both"/>
      </w:pPr>
      <w:r w:rsidRPr="00192CFD">
        <w:t>Car après l'austérité des années 2011-2013, la reprise en zone euro peine à se matérialiser concrètement</w:t>
      </w:r>
      <w:r w:rsidR="003D5D82">
        <w:t> </w:t>
      </w:r>
      <w:r w:rsidRPr="00192CFD">
        <w:t>: la croissance n'y sera que de 1,6</w:t>
      </w:r>
      <w:r w:rsidR="003D5D82">
        <w:t> </w:t>
      </w:r>
      <w:r w:rsidRPr="00192CFD">
        <w:t>% pour 2015 et la Commission européenne table sur +</w:t>
      </w:r>
      <w:r w:rsidR="003D5D82">
        <w:t> </w:t>
      </w:r>
      <w:r w:rsidRPr="00192CFD">
        <w:t>1,8</w:t>
      </w:r>
      <w:r w:rsidR="003D5D82">
        <w:t> </w:t>
      </w:r>
      <w:r w:rsidRPr="00192CFD">
        <w:t>% en 2016 et +</w:t>
      </w:r>
      <w:r w:rsidR="003D5D82">
        <w:t> </w:t>
      </w:r>
      <w:r w:rsidRPr="00192CFD">
        <w:t>1,9</w:t>
      </w:r>
      <w:r w:rsidR="003D5D82">
        <w:t> </w:t>
      </w:r>
      <w:r w:rsidRPr="00192CFD">
        <w:t>% en 2017. De faibles taux, alors même que les facteurs externes sont pl</w:t>
      </w:r>
      <w:r w:rsidR="00CF6798" w:rsidRPr="00192CFD">
        <w:t>utôt favorables à la croissance</w:t>
      </w:r>
      <w:r w:rsidR="003D5D82">
        <w:t> </w:t>
      </w:r>
      <w:r w:rsidRPr="00192CFD">
        <w:t xml:space="preserve">: la baisse des prix du pétrole, un euro faible, une pause globale dans le processus de consolidation budgétaire, et surtout une politique monétaire impulsée par la Banque centrale </w:t>
      </w:r>
      <w:proofErr w:type="gramStart"/>
      <w:r w:rsidRPr="00192CFD">
        <w:t xml:space="preserve">européenne </w:t>
      </w:r>
      <w:proofErr w:type="gramEnd"/>
      <w:hyperlink r:id="rId9" w:history="1">
        <w:r w:rsidRPr="00192CFD">
          <w:rPr>
            <w:rStyle w:val="Lienhypertexte"/>
            <w:color w:val="auto"/>
            <w:u w:val="none"/>
          </w:rPr>
          <w:t>qui se veut expansionniste, au moins jusqu'en mars 2017</w:t>
        </w:r>
      </w:hyperlink>
      <w:r w:rsidRPr="00192CFD">
        <w:t>.</w:t>
      </w:r>
    </w:p>
    <w:p w:rsidR="00C91E9B" w:rsidRPr="00192CFD" w:rsidRDefault="00C91E9B" w:rsidP="00BC01D7">
      <w:pPr>
        <w:pStyle w:val="NormalWeb"/>
        <w:spacing w:before="0" w:beforeAutospacing="0"/>
        <w:jc w:val="both"/>
      </w:pPr>
      <w:r w:rsidRPr="00192CFD">
        <w:t>Le chômage en zone euro reste par ailleurs proche des 11</w:t>
      </w:r>
      <w:r w:rsidR="003D5D82">
        <w:t> </w:t>
      </w:r>
      <w:r w:rsidRPr="00192CFD">
        <w:t xml:space="preserve">%, avec de fortes divergences entre les pays, tout particulièrement entre les pays du </w:t>
      </w:r>
      <w:r w:rsidR="00BC01D7">
        <w:t>n</w:t>
      </w:r>
      <w:r w:rsidRPr="00192CFD">
        <w:t xml:space="preserve">ord et les pays du </w:t>
      </w:r>
      <w:r w:rsidR="00BC01D7">
        <w:t>s</w:t>
      </w:r>
      <w:r w:rsidRPr="00192CFD">
        <w:t xml:space="preserve">ud. L'avenir de certains pays importants, comme l'Italie, inquiète tout particulièrement les économistes de l'OFCE. Plus globalement, </w:t>
      </w:r>
      <w:r w:rsidRPr="00BC01D7">
        <w:rPr>
          <w:i/>
        </w:rPr>
        <w:t>«</w:t>
      </w:r>
      <w:r w:rsidR="003D5D82" w:rsidRPr="00BC01D7">
        <w:rPr>
          <w:i/>
        </w:rPr>
        <w:t> </w:t>
      </w:r>
      <w:r w:rsidRPr="00BC01D7">
        <w:rPr>
          <w:rStyle w:val="Accentuation"/>
          <w:rFonts w:eastAsiaTheme="majorEastAsia"/>
          <w:i w:val="0"/>
        </w:rPr>
        <w:t>il faudra attendre entre sept et huit ans avant de retrouver le taux de chômage d'avant crise en Europe</w:t>
      </w:r>
      <w:r w:rsidR="003D5D82" w:rsidRPr="00BC01D7">
        <w:rPr>
          <w:rStyle w:val="Accentuation"/>
          <w:rFonts w:eastAsiaTheme="majorEastAsia"/>
          <w:i w:val="0"/>
        </w:rPr>
        <w:t> </w:t>
      </w:r>
      <w:r w:rsidRPr="00BC01D7">
        <w:rPr>
          <w:i/>
        </w:rPr>
        <w:t>»</w:t>
      </w:r>
      <w:r w:rsidRPr="00192CFD">
        <w:t xml:space="preserve">, s'inquiète Xavier </w:t>
      </w:r>
      <w:proofErr w:type="spellStart"/>
      <w:r w:rsidRPr="00192CFD">
        <w:t>Timbeau</w:t>
      </w:r>
      <w:proofErr w:type="spellEnd"/>
      <w:r w:rsidRPr="00192CFD">
        <w:t>, directeur principal à l'OFCE. Bref, le climat est morose.</w:t>
      </w:r>
    </w:p>
    <w:p w:rsidR="00C91E9B" w:rsidRPr="00192CFD" w:rsidRDefault="00C91E9B" w:rsidP="00BC01D7">
      <w:pPr>
        <w:pStyle w:val="Titre2"/>
        <w:spacing w:before="0"/>
        <w:jc w:val="both"/>
        <w:rPr>
          <w:rFonts w:ascii="Times New Roman" w:hAnsi="Times New Roman" w:cs="Times New Roman"/>
          <w:color w:val="auto"/>
          <w:sz w:val="24"/>
          <w:szCs w:val="24"/>
        </w:rPr>
      </w:pPr>
      <w:r w:rsidRPr="00192CFD">
        <w:rPr>
          <w:rFonts w:ascii="Times New Roman" w:hAnsi="Times New Roman" w:cs="Times New Roman"/>
          <w:color w:val="auto"/>
          <w:sz w:val="24"/>
          <w:szCs w:val="24"/>
        </w:rPr>
        <w:t>Investir ailleurs plutôt que chez soi</w:t>
      </w:r>
    </w:p>
    <w:p w:rsidR="00C91E9B" w:rsidRPr="00192CFD" w:rsidRDefault="00C91E9B" w:rsidP="00BC01D7">
      <w:pPr>
        <w:pStyle w:val="NormalWeb"/>
        <w:spacing w:before="0" w:beforeAutospacing="0" w:after="0" w:afterAutospacing="0"/>
        <w:jc w:val="both"/>
      </w:pPr>
      <w:r w:rsidRPr="00192CFD">
        <w:t>Mais il y a pire. En effet, l'un des grand</w:t>
      </w:r>
      <w:r w:rsidR="003D5D82">
        <w:t>s</w:t>
      </w:r>
      <w:r w:rsidRPr="00192CFD">
        <w:t xml:space="preserve"> maux de la zone euro, et tout particulièrement de l'Allemagne, c'est son obsession pour l'accumulation des excédents courants. La politique allemande cherche à mettre tout en œuvre en interne pour être compétitif et conquérir des marchés mondiaux. Ainsi, l'Allemagne et, dans une moindre mesure, les autres pays de la zone euro préfèrent épargner leurs rentrées d'argent ailleurs qu'en Europe, plutôt que de les consommer ou de les investir sur le marché domestique. L'excédent courant de la zone euro atteint ainsi 3,8</w:t>
      </w:r>
      <w:r w:rsidR="003D5D82">
        <w:t> </w:t>
      </w:r>
      <w:r w:rsidRPr="00192CFD">
        <w:t xml:space="preserve">% de son PIB en 2015, selon l'OCDE. Du jamais vu. </w:t>
      </w:r>
      <w:r w:rsidR="00BC01D7">
        <w:t>À</w:t>
      </w:r>
      <w:r w:rsidRPr="00192CFD">
        <w:t xml:space="preserve"> titre de comparaison, le solde positif de la balance courante de la zone euro n'atteignait que 0,5</w:t>
      </w:r>
      <w:r w:rsidR="003D5D82">
        <w:t> </w:t>
      </w:r>
      <w:r w:rsidRPr="00192CFD">
        <w:t>% du PIB en 2010.</w:t>
      </w:r>
    </w:p>
    <w:p w:rsidR="00C91E9B" w:rsidRPr="00192CFD" w:rsidRDefault="00C91E9B" w:rsidP="00BC01D7">
      <w:pPr>
        <w:pStyle w:val="NormalWeb"/>
        <w:spacing w:before="0" w:beforeAutospacing="0" w:after="0" w:afterAutospacing="0"/>
        <w:jc w:val="both"/>
      </w:pPr>
      <w:r w:rsidRPr="00192CFD">
        <w:t xml:space="preserve">Ainsi, à l'inverse de la Grande-Bretagne ou des </w:t>
      </w:r>
      <w:r w:rsidR="003D5D82">
        <w:t>É</w:t>
      </w:r>
      <w:r w:rsidRPr="00192CFD">
        <w:t>tats-Unis, l'investissement productif dans la zone euro est en constante baisse depuis 2011. Cette situation coïncide avec les politiques de restriction budgétaire mises en œuvre dans la zone, et qui ont contribué à minorer les dépenses de tous les acteurs économiques. Clairement, l'Allemagne impulse cette politique</w:t>
      </w:r>
      <w:r w:rsidR="003D5D82">
        <w:t> </w:t>
      </w:r>
      <w:r w:rsidRPr="00192CFD">
        <w:t>: son excédent courant atteint désormais 280</w:t>
      </w:r>
      <w:r w:rsidR="003D5D82">
        <w:t> </w:t>
      </w:r>
      <w:r w:rsidRPr="00192CFD">
        <w:t>milliards de dollars soit 8,3</w:t>
      </w:r>
      <w:r w:rsidR="003D5D82">
        <w:t> </w:t>
      </w:r>
      <w:r w:rsidRPr="00192CFD">
        <w:t>% de son PIB, selon l'OCDE, sur un excédent total de 436</w:t>
      </w:r>
      <w:r w:rsidR="003D5D82">
        <w:t> </w:t>
      </w:r>
      <w:r w:rsidRPr="00192CFD">
        <w:t>milliards de dollars pour la zone euro.</w:t>
      </w:r>
    </w:p>
    <w:p w:rsidR="00C91E9B" w:rsidRPr="00192CFD" w:rsidRDefault="00C91E9B" w:rsidP="00BC01D7">
      <w:pPr>
        <w:pStyle w:val="Titre2"/>
        <w:spacing w:before="0"/>
        <w:jc w:val="both"/>
        <w:rPr>
          <w:rFonts w:ascii="Times New Roman" w:hAnsi="Times New Roman" w:cs="Times New Roman"/>
          <w:color w:val="auto"/>
          <w:sz w:val="24"/>
          <w:szCs w:val="24"/>
        </w:rPr>
      </w:pPr>
      <w:r w:rsidRPr="00192CFD">
        <w:rPr>
          <w:rFonts w:ascii="Times New Roman" w:hAnsi="Times New Roman" w:cs="Times New Roman"/>
          <w:color w:val="auto"/>
          <w:sz w:val="24"/>
          <w:szCs w:val="24"/>
        </w:rPr>
        <w:lastRenderedPageBreak/>
        <w:t>Respecter les règles européennes</w:t>
      </w:r>
    </w:p>
    <w:p w:rsidR="00C91E9B" w:rsidRPr="00192CFD" w:rsidRDefault="00C91E9B" w:rsidP="00BC01D7">
      <w:pPr>
        <w:pStyle w:val="NormalWeb"/>
        <w:spacing w:before="0" w:beforeAutospacing="0" w:after="0" w:afterAutospacing="0"/>
        <w:jc w:val="both"/>
      </w:pPr>
      <w:r w:rsidRPr="00192CFD">
        <w:t>Obnubilé par sa conquête des marchés extérieurs, l'Allemagne joue depuis plus de 10 ans sur la modération salariale, la précarisation du travail et la maîtrise des comptes publics pour limiter la demande interne et renforcer sa compétitivité externe. Une politique qui, couplée avec une monnaie unique, mène la zone tout entière dans le mur, affirme l'OFCE.</w:t>
      </w:r>
    </w:p>
    <w:p w:rsidR="00C91E9B" w:rsidRPr="00BC01D7" w:rsidRDefault="00C91E9B" w:rsidP="00BC01D7">
      <w:pPr>
        <w:pStyle w:val="NormalWeb"/>
        <w:spacing w:before="0" w:beforeAutospacing="0" w:after="0" w:afterAutospacing="0"/>
        <w:jc w:val="both"/>
        <w:rPr>
          <w:i/>
        </w:rPr>
      </w:pPr>
      <w:r w:rsidRPr="00192CFD">
        <w:t>Au cours des cinq dernières années, l'Allemagne a même affiché un excédent supérieur à 6</w:t>
      </w:r>
      <w:r w:rsidR="003D5D82">
        <w:t> </w:t>
      </w:r>
      <w:r w:rsidRPr="00192CFD">
        <w:t xml:space="preserve">% du PIB, limite au-delà de laquelle la Commission européenne repère un </w:t>
      </w:r>
      <w:r w:rsidRPr="00BC01D7">
        <w:rPr>
          <w:i/>
        </w:rPr>
        <w:t>«</w:t>
      </w:r>
      <w:r w:rsidR="003D5D82" w:rsidRPr="00BC01D7">
        <w:rPr>
          <w:i/>
        </w:rPr>
        <w:t> </w:t>
      </w:r>
      <w:r w:rsidR="00BC01D7">
        <w:rPr>
          <w:rStyle w:val="Accentuation"/>
          <w:rFonts w:eastAsiaTheme="majorEastAsia"/>
          <w:i w:val="0"/>
        </w:rPr>
        <w:t>déséquilibre macroéconomique</w:t>
      </w:r>
      <w:r w:rsidR="003D5D82" w:rsidRPr="00BC01D7">
        <w:rPr>
          <w:rStyle w:val="Accentuation"/>
          <w:rFonts w:eastAsiaTheme="majorEastAsia"/>
          <w:i w:val="0"/>
        </w:rPr>
        <w:t> </w:t>
      </w:r>
      <w:r w:rsidRPr="00BC01D7">
        <w:rPr>
          <w:i/>
        </w:rPr>
        <w:t>».</w:t>
      </w:r>
      <w:r w:rsidRPr="00BC01D7">
        <w:t xml:space="preserve"> Pour que les excédents dégagés soient réinvestis dans l'économie européenne, il faudrait donc déjà</w:t>
      </w:r>
      <w:r w:rsidRPr="00BC01D7">
        <w:rPr>
          <w:i/>
        </w:rPr>
        <w:t xml:space="preserve"> </w:t>
      </w:r>
      <w:r w:rsidRPr="0033597A">
        <w:t>«</w:t>
      </w:r>
      <w:r w:rsidR="003D5D82" w:rsidRPr="0033597A">
        <w:t> </w:t>
      </w:r>
      <w:r w:rsidRPr="00BC01D7">
        <w:rPr>
          <w:rStyle w:val="Accentuation"/>
          <w:rFonts w:eastAsiaTheme="majorEastAsia"/>
          <w:i w:val="0"/>
        </w:rPr>
        <w:t>que la Commission européenne demande à l'Allemagne de respecter les règles européennes et cet engagement de 6</w:t>
      </w:r>
      <w:r w:rsidR="003D5D82" w:rsidRPr="00BC01D7">
        <w:rPr>
          <w:rStyle w:val="Accentuation"/>
          <w:rFonts w:eastAsiaTheme="majorEastAsia"/>
          <w:i w:val="0"/>
        </w:rPr>
        <w:t> </w:t>
      </w:r>
      <w:r w:rsidRPr="00BC01D7">
        <w:rPr>
          <w:rStyle w:val="Accentuation"/>
          <w:rFonts w:eastAsiaTheme="majorEastAsia"/>
          <w:i w:val="0"/>
        </w:rPr>
        <w:t>%</w:t>
      </w:r>
      <w:r w:rsidR="003D5D82" w:rsidRPr="00BC01D7">
        <w:rPr>
          <w:rStyle w:val="Accentuation"/>
          <w:rFonts w:eastAsiaTheme="majorEastAsia"/>
          <w:i w:val="0"/>
        </w:rPr>
        <w:t> </w:t>
      </w:r>
      <w:r w:rsidRPr="0033597A">
        <w:t>», estime Xavier Ragot, le président de l'OFCE.</w:t>
      </w:r>
    </w:p>
    <w:p w:rsidR="00C91E9B" w:rsidRPr="00192CFD" w:rsidRDefault="00662639" w:rsidP="00BC01D7">
      <w:pPr>
        <w:pStyle w:val="NormalWeb"/>
        <w:jc w:val="both"/>
      </w:pPr>
      <w:r w:rsidRPr="00192CFD">
        <w:t>[…]</w:t>
      </w:r>
    </w:p>
    <w:p w:rsidR="00C91E9B" w:rsidRPr="00192CFD" w:rsidRDefault="00C91E9B" w:rsidP="00BC01D7">
      <w:pPr>
        <w:pStyle w:val="Titre2"/>
        <w:spacing w:before="0"/>
        <w:jc w:val="both"/>
        <w:rPr>
          <w:rFonts w:ascii="Times New Roman" w:hAnsi="Times New Roman" w:cs="Times New Roman"/>
          <w:color w:val="auto"/>
          <w:sz w:val="24"/>
          <w:szCs w:val="24"/>
        </w:rPr>
      </w:pPr>
      <w:r w:rsidRPr="00192CFD">
        <w:rPr>
          <w:rFonts w:ascii="Times New Roman" w:hAnsi="Times New Roman" w:cs="Times New Roman"/>
          <w:color w:val="auto"/>
          <w:sz w:val="24"/>
          <w:szCs w:val="24"/>
        </w:rPr>
        <w:t>Relancer (vraiment) l'investissement</w:t>
      </w:r>
    </w:p>
    <w:p w:rsidR="00C91E9B" w:rsidRPr="00192CFD" w:rsidRDefault="00C91E9B" w:rsidP="00BC01D7">
      <w:pPr>
        <w:pStyle w:val="NormalWeb"/>
        <w:spacing w:before="0" w:beforeAutospacing="0" w:after="0" w:afterAutospacing="0"/>
        <w:jc w:val="both"/>
      </w:pPr>
      <w:r w:rsidRPr="00192CFD">
        <w:t>L'OFCE milite surtout pour aller plus loin que le seul «</w:t>
      </w:r>
      <w:r w:rsidR="003D5D82">
        <w:t> </w:t>
      </w:r>
      <w:r w:rsidRPr="00192CFD">
        <w:t>Plan Juncker</w:t>
      </w:r>
      <w:r w:rsidR="003D5D82">
        <w:t> </w:t>
      </w:r>
      <w:r w:rsidRPr="00192CFD">
        <w:t xml:space="preserve">» en Europe, que Xavier </w:t>
      </w:r>
      <w:proofErr w:type="spellStart"/>
      <w:r w:rsidRPr="00192CFD">
        <w:t>Timbeau</w:t>
      </w:r>
      <w:proofErr w:type="spellEnd"/>
      <w:r w:rsidRPr="00192CFD">
        <w:t xml:space="preserve"> assimile à une recapitalisation à hauteur de 21</w:t>
      </w:r>
      <w:r w:rsidR="003D5D82">
        <w:t> </w:t>
      </w:r>
      <w:r w:rsidRPr="00192CFD">
        <w:t>milliards d'euros de la Banque européenne d'investissement (BEI), laquelle l'a déjà été en 2012 de 60</w:t>
      </w:r>
      <w:r w:rsidR="003D5D82">
        <w:t> </w:t>
      </w:r>
      <w:r w:rsidRPr="00192CFD">
        <w:t>milliards d'euros, ainsi qu'en 2005 de 67</w:t>
      </w:r>
      <w:r w:rsidR="003D5D82">
        <w:t> </w:t>
      </w:r>
      <w:r w:rsidRPr="00192CFD">
        <w:t xml:space="preserve">milliards d'euros, </w:t>
      </w:r>
      <w:r w:rsidRPr="0033597A">
        <w:t>«</w:t>
      </w:r>
      <w:r w:rsidR="003D5D82" w:rsidRPr="0033597A">
        <w:rPr>
          <w:i/>
        </w:rPr>
        <w:t> </w:t>
      </w:r>
      <w:r w:rsidRPr="0033597A">
        <w:rPr>
          <w:rStyle w:val="Accentuation"/>
          <w:i w:val="0"/>
        </w:rPr>
        <w:t>sans que cela n'ait un impact significatif sur l'investissement</w:t>
      </w:r>
      <w:r w:rsidR="003D5D82" w:rsidRPr="0033597A">
        <w:rPr>
          <w:rStyle w:val="Accentuation"/>
          <w:i w:val="0"/>
        </w:rPr>
        <w:t> </w:t>
      </w:r>
      <w:r w:rsidRPr="0033597A">
        <w:rPr>
          <w:i/>
        </w:rPr>
        <w:t>»</w:t>
      </w:r>
      <w:r w:rsidRPr="00192CFD">
        <w:t>, constate-t-il. Il prône plutôt</w:t>
      </w:r>
      <w:r w:rsidRPr="00192CFD">
        <w:rPr>
          <w:rStyle w:val="Accentuation"/>
        </w:rPr>
        <w:t xml:space="preserve"> </w:t>
      </w:r>
      <w:r w:rsidRPr="0033597A">
        <w:rPr>
          <w:rStyle w:val="Accentuation"/>
          <w:i w:val="0"/>
        </w:rPr>
        <w:t>«</w:t>
      </w:r>
      <w:r w:rsidR="003D5D82" w:rsidRPr="0033597A">
        <w:rPr>
          <w:rStyle w:val="Accentuation"/>
          <w:i w:val="0"/>
        </w:rPr>
        <w:t> </w:t>
      </w:r>
      <w:r w:rsidRPr="0033597A">
        <w:rPr>
          <w:rStyle w:val="Accentuation"/>
          <w:i w:val="0"/>
        </w:rPr>
        <w:t>une gestion active de la demande</w:t>
      </w:r>
      <w:r w:rsidR="003D5D82" w:rsidRPr="0033597A">
        <w:rPr>
          <w:rStyle w:val="Accentuation"/>
          <w:i w:val="0"/>
        </w:rPr>
        <w:t> </w:t>
      </w:r>
      <w:r w:rsidRPr="0033597A">
        <w:rPr>
          <w:i/>
        </w:rPr>
        <w:t xml:space="preserve">» </w:t>
      </w:r>
      <w:r w:rsidRPr="00192CFD">
        <w:t>par l'investissement afin d'enclencher un cercle vertueux à l'intérieur de la zone euro, et qui n'oublierait pas le risque de hausse des inégalités.</w:t>
      </w:r>
    </w:p>
    <w:p w:rsidR="00C91E9B" w:rsidRPr="00192CFD" w:rsidRDefault="00C91E9B" w:rsidP="00BC01D7">
      <w:pPr>
        <w:pStyle w:val="NormalWeb"/>
        <w:spacing w:before="0" w:beforeAutospacing="0" w:after="0" w:afterAutospacing="0"/>
        <w:jc w:val="both"/>
      </w:pPr>
      <w:r w:rsidRPr="00192CFD">
        <w:t>Car l'addition des individus au chômage, de ceux voulant un travail mais n'en cherchant plus, et des personnes en situation de sous-emploi, atteint environ 23</w:t>
      </w:r>
      <w:r w:rsidR="003D5D82">
        <w:t> </w:t>
      </w:r>
      <w:r w:rsidRPr="00192CFD">
        <w:t>% de la population active de la zone euro, selon les chiffres recoupés par l'OFCE. L'investissement social, notamment dans l'éducation, ne pourra donc être délaissé. Sous peine de laisser aux générations futures un héritage bien médiocre.</w:t>
      </w:r>
      <w:r w:rsidR="00BC01D7">
        <w:t> </w:t>
      </w:r>
    </w:p>
    <w:p w:rsidR="00041B46" w:rsidRPr="00192CFD" w:rsidRDefault="00041B46">
      <w:pPr>
        <w:rPr>
          <w:rFonts w:ascii="Times New Roman" w:hAnsi="Times New Roman" w:cs="Times New Roman"/>
          <w:sz w:val="24"/>
          <w:szCs w:val="24"/>
        </w:rPr>
      </w:pPr>
      <w:r w:rsidRPr="00192CFD">
        <w:rPr>
          <w:rFonts w:ascii="Times New Roman" w:hAnsi="Times New Roman" w:cs="Times New Roman"/>
          <w:sz w:val="24"/>
          <w:szCs w:val="24"/>
        </w:rPr>
        <w:br w:type="page"/>
      </w:r>
    </w:p>
    <w:p w:rsidR="00041B46" w:rsidRPr="00192CFD" w:rsidRDefault="00041B46" w:rsidP="00041B46">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192CFD">
        <w:rPr>
          <w:rFonts w:eastAsia="Times New Roman" w:cs="Times New Roman"/>
          <w:b/>
          <w:sz w:val="24"/>
          <w:szCs w:val="24"/>
          <w:lang w:eastAsia="fr-FR"/>
        </w:rPr>
        <w:lastRenderedPageBreak/>
        <w:t>Exploitation pédagogique</w:t>
      </w:r>
    </w:p>
    <w:p w:rsidR="009C09D0" w:rsidRPr="00336ECF" w:rsidRDefault="002716DE" w:rsidP="00BC01D7">
      <w:pPr>
        <w:pStyle w:val="Paragraphedeliste"/>
        <w:numPr>
          <w:ilvl w:val="0"/>
          <w:numId w:val="1"/>
        </w:numPr>
        <w:jc w:val="both"/>
        <w:rPr>
          <w:rFonts w:cs="Times New Roman"/>
        </w:rPr>
      </w:pPr>
      <w:r w:rsidRPr="00336ECF">
        <w:rPr>
          <w:rFonts w:cs="Times New Roman"/>
        </w:rPr>
        <w:t>Quels sont les principaux déséquilibres macro-économiques dont souffre la zone euro d’après l’article ?</w:t>
      </w:r>
    </w:p>
    <w:p w:rsidR="001E388E" w:rsidRPr="00336ECF" w:rsidRDefault="009C09D0" w:rsidP="00BC01D7">
      <w:pPr>
        <w:pStyle w:val="Paragraphedeliste"/>
        <w:numPr>
          <w:ilvl w:val="0"/>
          <w:numId w:val="1"/>
        </w:numPr>
        <w:jc w:val="both"/>
        <w:rPr>
          <w:rFonts w:cs="Times New Roman"/>
        </w:rPr>
      </w:pPr>
      <w:r w:rsidRPr="00336ECF">
        <w:rPr>
          <w:rFonts w:cs="Times New Roman"/>
        </w:rPr>
        <w:t xml:space="preserve">Dites précisément comment ces déséquilibres sont mesurés et </w:t>
      </w:r>
      <w:r w:rsidR="001E388E" w:rsidRPr="00336ECF">
        <w:rPr>
          <w:rFonts w:cs="Times New Roman"/>
        </w:rPr>
        <w:t>souligne</w:t>
      </w:r>
      <w:r w:rsidR="000143EE" w:rsidRPr="00336ECF">
        <w:rPr>
          <w:rFonts w:cs="Times New Roman"/>
        </w:rPr>
        <w:t>z</w:t>
      </w:r>
      <w:r w:rsidR="002716DE" w:rsidRPr="00336ECF">
        <w:rPr>
          <w:rFonts w:cs="Times New Roman"/>
        </w:rPr>
        <w:t xml:space="preserve"> dans l’article les données chiffrées permettant de </w:t>
      </w:r>
      <w:r w:rsidRPr="00336ECF">
        <w:rPr>
          <w:rFonts w:cs="Times New Roman"/>
        </w:rPr>
        <w:t xml:space="preserve">les </w:t>
      </w:r>
      <w:r w:rsidR="002716DE" w:rsidRPr="00336ECF">
        <w:rPr>
          <w:rFonts w:cs="Times New Roman"/>
        </w:rPr>
        <w:t>quantifier.</w:t>
      </w:r>
      <w:r w:rsidR="00C34820" w:rsidRPr="00336ECF">
        <w:rPr>
          <w:rFonts w:cs="Times New Roman"/>
        </w:rPr>
        <w:t xml:space="preserve"> </w:t>
      </w:r>
    </w:p>
    <w:p w:rsidR="00CC7D86" w:rsidRPr="00336ECF" w:rsidRDefault="00CC7D86" w:rsidP="00BC01D7">
      <w:pPr>
        <w:pStyle w:val="Paragraphedeliste"/>
        <w:numPr>
          <w:ilvl w:val="0"/>
          <w:numId w:val="1"/>
        </w:numPr>
        <w:jc w:val="both"/>
        <w:rPr>
          <w:rFonts w:cs="Times New Roman"/>
        </w:rPr>
      </w:pPr>
      <w:r w:rsidRPr="00336ECF">
        <w:rPr>
          <w:rFonts w:cs="Times New Roman"/>
        </w:rPr>
        <w:t xml:space="preserve">Quels facteurs sont </w:t>
      </w:r>
      <w:r w:rsidRPr="0033597A">
        <w:rPr>
          <w:rFonts w:cs="Times New Roman"/>
          <w:i/>
        </w:rPr>
        <w:t>a priori</w:t>
      </w:r>
      <w:r w:rsidRPr="00336ECF">
        <w:rPr>
          <w:rFonts w:cs="Times New Roman"/>
        </w:rPr>
        <w:t xml:space="preserve"> favorables à la reprise économique dans la zone euro ?</w:t>
      </w:r>
      <w:r w:rsidR="00A061AA" w:rsidRPr="00336ECF">
        <w:rPr>
          <w:rFonts w:cs="Times New Roman"/>
        </w:rPr>
        <w:t xml:space="preserve"> Justifiez votre réponse.</w:t>
      </w:r>
    </w:p>
    <w:p w:rsidR="000143EE" w:rsidRPr="00336ECF" w:rsidRDefault="000143EE" w:rsidP="00BC01D7">
      <w:pPr>
        <w:pStyle w:val="Paragraphedeliste"/>
        <w:numPr>
          <w:ilvl w:val="0"/>
          <w:numId w:val="1"/>
        </w:numPr>
        <w:jc w:val="both"/>
        <w:rPr>
          <w:rFonts w:cs="Times New Roman"/>
        </w:rPr>
      </w:pPr>
      <w:r w:rsidRPr="00336ECF">
        <w:rPr>
          <w:rFonts w:cs="Times New Roman"/>
        </w:rPr>
        <w:t>Pourquoi la politique allemande est-elle accusée de nuire à la croissance de la zone euro ?</w:t>
      </w:r>
    </w:p>
    <w:p w:rsidR="00733F1F" w:rsidRPr="00336ECF" w:rsidRDefault="00CC7D86" w:rsidP="00BC01D7">
      <w:pPr>
        <w:pStyle w:val="Paragraphedeliste"/>
        <w:numPr>
          <w:ilvl w:val="0"/>
          <w:numId w:val="1"/>
        </w:numPr>
        <w:jc w:val="both"/>
        <w:rPr>
          <w:rFonts w:cs="Times New Roman"/>
        </w:rPr>
      </w:pPr>
      <w:r w:rsidRPr="00336ECF">
        <w:rPr>
          <w:rFonts w:cs="Times New Roman"/>
        </w:rPr>
        <w:t>Expliquez le titre de l’article.</w:t>
      </w:r>
    </w:p>
    <w:p w:rsidR="00E530FC" w:rsidRPr="00336ECF" w:rsidRDefault="00E530FC" w:rsidP="00BC01D7">
      <w:pPr>
        <w:pStyle w:val="Paragraphedeliste"/>
        <w:numPr>
          <w:ilvl w:val="0"/>
          <w:numId w:val="1"/>
        </w:numPr>
        <w:jc w:val="both"/>
        <w:rPr>
          <w:rFonts w:cs="Times New Roman"/>
        </w:rPr>
      </w:pPr>
      <w:r w:rsidRPr="00336ECF">
        <w:rPr>
          <w:rFonts w:cs="Times New Roman"/>
        </w:rPr>
        <w:t xml:space="preserve">Que préconise l’OFCE </w:t>
      </w:r>
      <w:r w:rsidR="009F2ADA" w:rsidRPr="00336ECF">
        <w:rPr>
          <w:rFonts w:cs="Times New Roman"/>
        </w:rPr>
        <w:t>pour renouer avec la croissance en zone euro ?</w:t>
      </w:r>
    </w:p>
    <w:p w:rsidR="00505628" w:rsidRPr="00336ECF" w:rsidRDefault="00505628" w:rsidP="00AE1B73">
      <w:pPr>
        <w:rPr>
          <w:rFonts w:eastAsia="Times New Roman" w:cs="Times New Roman"/>
          <w:lang w:eastAsia="fr-FR"/>
        </w:rPr>
      </w:pPr>
    </w:p>
    <w:p w:rsidR="00AE1B73" w:rsidRPr="00192CFD" w:rsidRDefault="00AE1B73" w:rsidP="00AE1B73">
      <w:pPr>
        <w:rPr>
          <w:rFonts w:ascii="Times New Roman" w:eastAsia="Times New Roman" w:hAnsi="Times New Roman" w:cs="Times New Roman"/>
          <w:sz w:val="24"/>
          <w:szCs w:val="24"/>
          <w:lang w:eastAsia="fr-FR"/>
        </w:rPr>
      </w:pPr>
    </w:p>
    <w:p w:rsidR="00AE1B73" w:rsidRPr="00192CFD" w:rsidRDefault="00AE1B73" w:rsidP="00AE1B73">
      <w:pPr>
        <w:rPr>
          <w:rFonts w:ascii="Times New Roman" w:eastAsia="Times New Roman" w:hAnsi="Times New Roman" w:cs="Times New Roman"/>
          <w:sz w:val="24"/>
          <w:szCs w:val="24"/>
          <w:lang w:eastAsia="fr-FR"/>
        </w:rPr>
      </w:pPr>
    </w:p>
    <w:p w:rsidR="00AE1B73" w:rsidRPr="00192CFD" w:rsidRDefault="00AE1B73" w:rsidP="00AE1B73">
      <w:pPr>
        <w:rPr>
          <w:rFonts w:ascii="Times New Roman" w:eastAsia="Times New Roman" w:hAnsi="Times New Roman" w:cs="Times New Roman"/>
          <w:sz w:val="24"/>
          <w:szCs w:val="24"/>
          <w:lang w:eastAsia="fr-FR"/>
        </w:rPr>
      </w:pPr>
    </w:p>
    <w:p w:rsidR="00AE1B73" w:rsidRPr="00192CFD" w:rsidRDefault="00AE1B73" w:rsidP="00AE1B73">
      <w:pPr>
        <w:rPr>
          <w:rFonts w:ascii="Times New Roman" w:eastAsia="Times New Roman" w:hAnsi="Times New Roman" w:cs="Times New Roman"/>
          <w:sz w:val="24"/>
          <w:szCs w:val="24"/>
          <w:lang w:eastAsia="fr-FR"/>
        </w:rPr>
      </w:pPr>
    </w:p>
    <w:p w:rsidR="00AE1B73" w:rsidRPr="00192CFD" w:rsidRDefault="00AE1B73" w:rsidP="00AE1B73">
      <w:pPr>
        <w:rPr>
          <w:rFonts w:ascii="Times New Roman" w:eastAsia="Times New Roman" w:hAnsi="Times New Roman" w:cs="Times New Roman"/>
          <w:sz w:val="24"/>
          <w:szCs w:val="24"/>
          <w:lang w:eastAsia="fr-FR"/>
        </w:rPr>
      </w:pPr>
    </w:p>
    <w:p w:rsidR="00AE1B73" w:rsidRPr="00192CFD" w:rsidRDefault="00AE1B73" w:rsidP="00AE1B73">
      <w:pPr>
        <w:rPr>
          <w:rFonts w:ascii="Times New Roman" w:eastAsia="Times New Roman" w:hAnsi="Times New Roman" w:cs="Times New Roman"/>
          <w:sz w:val="24"/>
          <w:szCs w:val="24"/>
          <w:lang w:eastAsia="fr-FR"/>
        </w:rPr>
      </w:pPr>
    </w:p>
    <w:p w:rsidR="00AE1B73" w:rsidRPr="00192CFD" w:rsidRDefault="00AE1B73" w:rsidP="00AE1B73">
      <w:pPr>
        <w:rPr>
          <w:rFonts w:ascii="Times New Roman" w:eastAsia="Times New Roman" w:hAnsi="Times New Roman" w:cs="Times New Roman"/>
          <w:sz w:val="24"/>
          <w:szCs w:val="24"/>
          <w:lang w:eastAsia="fr-FR"/>
        </w:rPr>
      </w:pPr>
    </w:p>
    <w:p w:rsidR="00AE1B73" w:rsidRPr="00192CFD" w:rsidRDefault="00AE1B73" w:rsidP="00AE1B73">
      <w:pPr>
        <w:rPr>
          <w:rFonts w:ascii="Times New Roman" w:eastAsia="Times New Roman" w:hAnsi="Times New Roman" w:cs="Times New Roman"/>
          <w:sz w:val="24"/>
          <w:szCs w:val="24"/>
          <w:lang w:eastAsia="fr-FR"/>
        </w:rPr>
      </w:pPr>
    </w:p>
    <w:p w:rsidR="00AE1B73" w:rsidRPr="00192CFD" w:rsidRDefault="00AE1B73" w:rsidP="00AE1B73">
      <w:pPr>
        <w:rPr>
          <w:rFonts w:ascii="Times New Roman" w:eastAsia="Times New Roman" w:hAnsi="Times New Roman" w:cs="Times New Roman"/>
          <w:sz w:val="24"/>
          <w:szCs w:val="24"/>
          <w:lang w:eastAsia="fr-FR"/>
        </w:rPr>
      </w:pPr>
    </w:p>
    <w:p w:rsidR="00AE1B73" w:rsidRPr="00192CFD" w:rsidRDefault="00AE1B73" w:rsidP="00AE1B73">
      <w:pPr>
        <w:rPr>
          <w:rFonts w:ascii="Times New Roman" w:eastAsia="Times New Roman" w:hAnsi="Times New Roman" w:cs="Times New Roman"/>
          <w:sz w:val="24"/>
          <w:szCs w:val="24"/>
          <w:lang w:eastAsia="fr-FR"/>
        </w:rPr>
      </w:pPr>
    </w:p>
    <w:p w:rsidR="00AE1B73" w:rsidRDefault="00AE1B73" w:rsidP="00AE1B73">
      <w:pPr>
        <w:rPr>
          <w:rFonts w:ascii="Times New Roman" w:eastAsia="Times New Roman" w:hAnsi="Times New Roman" w:cs="Times New Roman"/>
          <w:sz w:val="24"/>
          <w:szCs w:val="24"/>
          <w:lang w:eastAsia="fr-FR"/>
        </w:rPr>
      </w:pPr>
    </w:p>
    <w:p w:rsidR="00173664" w:rsidRPr="00192CFD" w:rsidRDefault="00173664" w:rsidP="00AE1B73">
      <w:pPr>
        <w:rPr>
          <w:rFonts w:ascii="Times New Roman" w:eastAsia="Times New Roman" w:hAnsi="Times New Roman" w:cs="Times New Roman"/>
          <w:sz w:val="24"/>
          <w:szCs w:val="24"/>
          <w:lang w:eastAsia="fr-FR"/>
        </w:rPr>
      </w:pPr>
    </w:p>
    <w:p w:rsidR="00AE1B73" w:rsidRPr="00192CFD" w:rsidRDefault="00AE1B73" w:rsidP="00AE1B73">
      <w:pPr>
        <w:rPr>
          <w:rFonts w:ascii="Times New Roman" w:eastAsia="Times New Roman" w:hAnsi="Times New Roman" w:cs="Times New Roman"/>
          <w:sz w:val="24"/>
          <w:szCs w:val="24"/>
          <w:lang w:eastAsia="fr-FR"/>
        </w:rPr>
      </w:pPr>
    </w:p>
    <w:p w:rsidR="00AE1B73" w:rsidRPr="00192CFD" w:rsidRDefault="00AE1B73" w:rsidP="00AE1B73">
      <w:pPr>
        <w:rPr>
          <w:rFonts w:ascii="Times New Roman" w:eastAsia="Times New Roman" w:hAnsi="Times New Roman" w:cs="Times New Roman"/>
          <w:sz w:val="24"/>
          <w:szCs w:val="24"/>
          <w:lang w:eastAsia="fr-FR"/>
        </w:rPr>
      </w:pPr>
    </w:p>
    <w:p w:rsidR="00AE1B73" w:rsidRPr="00192CFD" w:rsidRDefault="00AE1B73" w:rsidP="00AE1B73">
      <w:pPr>
        <w:rPr>
          <w:rFonts w:ascii="Times New Roman" w:eastAsia="Times New Roman" w:hAnsi="Times New Roman" w:cs="Times New Roman"/>
          <w:sz w:val="24"/>
          <w:szCs w:val="24"/>
          <w:lang w:eastAsia="fr-FR"/>
        </w:rPr>
      </w:pPr>
    </w:p>
    <w:p w:rsidR="00AE1B73" w:rsidRPr="00192CFD" w:rsidRDefault="00AE1B73" w:rsidP="00AE1B73">
      <w:pPr>
        <w:rPr>
          <w:rFonts w:ascii="Times New Roman" w:eastAsia="Times New Roman" w:hAnsi="Times New Roman" w:cs="Times New Roman"/>
          <w:sz w:val="24"/>
          <w:szCs w:val="24"/>
          <w:lang w:eastAsia="fr-FR"/>
        </w:rPr>
      </w:pPr>
    </w:p>
    <w:p w:rsidR="00AE1B73" w:rsidRPr="00192CFD" w:rsidRDefault="00AE1B73" w:rsidP="00AE1B73">
      <w:pPr>
        <w:rPr>
          <w:rFonts w:ascii="Times New Roman" w:eastAsia="Times New Roman" w:hAnsi="Times New Roman" w:cs="Times New Roman"/>
          <w:sz w:val="24"/>
          <w:szCs w:val="24"/>
          <w:lang w:eastAsia="fr-FR"/>
        </w:rPr>
      </w:pPr>
    </w:p>
    <w:p w:rsidR="00AE1B73" w:rsidRPr="00192CFD" w:rsidRDefault="00AE1B73" w:rsidP="00AE1B73">
      <w:pPr>
        <w:rPr>
          <w:rFonts w:ascii="Times New Roman" w:eastAsia="Times New Roman" w:hAnsi="Times New Roman" w:cs="Times New Roman"/>
          <w:sz w:val="24"/>
          <w:szCs w:val="24"/>
          <w:lang w:eastAsia="fr-FR"/>
        </w:rPr>
      </w:pPr>
    </w:p>
    <w:p w:rsidR="00505628" w:rsidRPr="00192CFD" w:rsidRDefault="00505628" w:rsidP="00505628">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192CFD">
        <w:rPr>
          <w:rFonts w:eastAsia="Times New Roman" w:cs="Times New Roman"/>
          <w:b/>
          <w:sz w:val="24"/>
          <w:szCs w:val="24"/>
          <w:lang w:eastAsia="fr-FR"/>
        </w:rPr>
        <w:lastRenderedPageBreak/>
        <w:t>Corrigé</w:t>
      </w:r>
    </w:p>
    <w:p w:rsidR="00505628" w:rsidRPr="00336ECF" w:rsidRDefault="00505628" w:rsidP="00BC01D7">
      <w:pPr>
        <w:pStyle w:val="Paragraphedeliste"/>
        <w:numPr>
          <w:ilvl w:val="0"/>
          <w:numId w:val="2"/>
        </w:numPr>
        <w:jc w:val="both"/>
        <w:rPr>
          <w:rFonts w:cs="Times New Roman"/>
        </w:rPr>
      </w:pPr>
      <w:r w:rsidRPr="00336ECF">
        <w:rPr>
          <w:rFonts w:cs="Times New Roman"/>
        </w:rPr>
        <w:t>La zone euro souffre d’une croissance faible, associée à un fort taux de chômage, et d’excédents courants élevés.</w:t>
      </w:r>
    </w:p>
    <w:p w:rsidR="00505628" w:rsidRPr="00336ECF" w:rsidRDefault="00505628" w:rsidP="00BC01D7">
      <w:pPr>
        <w:pStyle w:val="Paragraphedeliste"/>
        <w:numPr>
          <w:ilvl w:val="0"/>
          <w:numId w:val="2"/>
        </w:numPr>
        <w:jc w:val="both"/>
        <w:rPr>
          <w:rFonts w:cs="Times New Roman"/>
        </w:rPr>
      </w:pPr>
      <w:r w:rsidRPr="00336ECF">
        <w:rPr>
          <w:rFonts w:cs="Times New Roman"/>
        </w:rPr>
        <w:t>La croissance est l’augmentation des richesses produites, mesurée par la hausse du PIB en volume. Le chômage au sens du BIT comprend l’ensemble des personnes en âge de travailler, sans emploi du tout, disponibles et recherchant activement un emploi ; le taux de chômage rapporte le nombre de chômeurs à la population active. Cette donnée ne prend pas en compte les chômeurs découragés et le sous-e</w:t>
      </w:r>
      <w:r w:rsidR="00336ECF" w:rsidRPr="00336ECF">
        <w:rPr>
          <w:rFonts w:cs="Times New Roman"/>
        </w:rPr>
        <w:t xml:space="preserve">mploi. </w:t>
      </w:r>
      <w:r w:rsidRPr="00336ECF">
        <w:rPr>
          <w:rFonts w:cs="Times New Roman"/>
        </w:rPr>
        <w:t xml:space="preserve">Un excédent courant est un solde positif de </w:t>
      </w:r>
      <w:r w:rsidR="003C71A8">
        <w:rPr>
          <w:rFonts w:cs="Times New Roman"/>
        </w:rPr>
        <w:t xml:space="preserve">la </w:t>
      </w:r>
      <w:r w:rsidRPr="00336ECF">
        <w:rPr>
          <w:rFonts w:cs="Times New Roman"/>
        </w:rPr>
        <w:t>balance courante ; cette dernière décrit les échanges de biens, de services et de revenus entre un pays (ou une zone) et l’extérieur. L’excédent courant est ramené au PIB du pays (ou de la zone).</w:t>
      </w:r>
      <w:r w:rsidR="00336ECF" w:rsidRPr="00336ECF">
        <w:rPr>
          <w:rFonts w:cs="Times New Roman"/>
        </w:rPr>
        <w:t xml:space="preserve"> [Voir </w:t>
      </w:r>
      <w:r w:rsidR="00336ECF">
        <w:rPr>
          <w:rFonts w:cs="Times New Roman"/>
        </w:rPr>
        <w:t xml:space="preserve">les </w:t>
      </w:r>
      <w:r w:rsidR="00336ECF" w:rsidRPr="00336ECF">
        <w:rPr>
          <w:rFonts w:cs="Times New Roman"/>
        </w:rPr>
        <w:t xml:space="preserve">données </w:t>
      </w:r>
      <w:r w:rsidR="00336ECF">
        <w:rPr>
          <w:rFonts w:cs="Times New Roman"/>
        </w:rPr>
        <w:t xml:space="preserve">chiffrées à souligner </w:t>
      </w:r>
      <w:r w:rsidR="00336ECF" w:rsidRPr="00336ECF">
        <w:rPr>
          <w:rFonts w:cs="Times New Roman"/>
        </w:rPr>
        <w:t xml:space="preserve">page </w:t>
      </w:r>
      <w:r w:rsidR="00336ECF">
        <w:rPr>
          <w:rFonts w:cs="Times New Roman"/>
        </w:rPr>
        <w:t>suivante</w:t>
      </w:r>
      <w:r w:rsidR="00336ECF" w:rsidRPr="00336ECF">
        <w:rPr>
          <w:rFonts w:cs="Times New Roman"/>
        </w:rPr>
        <w:t>].</w:t>
      </w:r>
    </w:p>
    <w:p w:rsidR="00505628" w:rsidRPr="00336ECF" w:rsidRDefault="00505628" w:rsidP="00BC01D7">
      <w:pPr>
        <w:pStyle w:val="Paragraphedeliste"/>
        <w:numPr>
          <w:ilvl w:val="0"/>
          <w:numId w:val="2"/>
        </w:numPr>
        <w:jc w:val="both"/>
        <w:rPr>
          <w:rFonts w:cs="Times New Roman"/>
        </w:rPr>
      </w:pPr>
      <w:r w:rsidRPr="00336ECF">
        <w:rPr>
          <w:rFonts w:cs="Times New Roman"/>
        </w:rPr>
        <w:t>La baisse du prix du pétrole qui soutient le pouvoir d’achat des ménages et améliore les marges des entreprises, un euro faible qui dope la compétitivité-prix</w:t>
      </w:r>
      <w:r w:rsidR="003C71A8">
        <w:rPr>
          <w:rFonts w:cs="Times New Roman"/>
        </w:rPr>
        <w:t xml:space="preserve"> des exportations</w:t>
      </w:r>
      <w:r w:rsidRPr="00336ECF">
        <w:rPr>
          <w:rFonts w:cs="Times New Roman"/>
        </w:rPr>
        <w:t>, des politiques budgétaires moins restrictives et surtout une politique monétaire expansive de la BCE (liquidités abondantes et bon marché grâce au maintien de taux d’intérêt bas) censée stimuler la demande.</w:t>
      </w:r>
    </w:p>
    <w:p w:rsidR="00505628" w:rsidRPr="00336ECF" w:rsidRDefault="00505628" w:rsidP="00BC01D7">
      <w:pPr>
        <w:pStyle w:val="Paragraphedeliste"/>
        <w:numPr>
          <w:ilvl w:val="0"/>
          <w:numId w:val="2"/>
        </w:numPr>
        <w:jc w:val="both"/>
        <w:rPr>
          <w:rFonts w:cs="Times New Roman"/>
        </w:rPr>
      </w:pPr>
      <w:r w:rsidRPr="00336ECF">
        <w:rPr>
          <w:rFonts w:cs="Times New Roman"/>
        </w:rPr>
        <w:t>L’Allemagne, en privilégiant la recherche de compétitivité, a fait reposer sa croissance sur les exportations au détriment de sa demande interne ; pour limiter l’inflation, elle a freiné le coût de sa main-d’œuvre (modération salariale, déréglementation du marché du travail) et mis en œuvre une orthodoxie budgétaire (maîtrise des comptes publics). Comme les autres pays de la zone ne peuvent plus dévaluer pour rester compétitifs (monnaie unique), ils sont obligés de s’aligner sur les choix allemands et de comprimer eux aussi leurs coûts salariaux. Par exemple, les salaires ont baissé en Grèce et en Espagne, la France a diminué les prélèvements sur les entreprises (reportés sur les ménages). Cette course à la compétitivité via la réduction des coûts salariaux comprime la demande et</w:t>
      </w:r>
      <w:r w:rsidR="0033597A">
        <w:rPr>
          <w:rFonts w:cs="Times New Roman"/>
        </w:rPr>
        <w:t>,</w:t>
      </w:r>
      <w:r w:rsidRPr="00336ECF">
        <w:rPr>
          <w:rFonts w:cs="Times New Roman"/>
        </w:rPr>
        <w:t xml:space="preserve"> </w:t>
      </w:r>
      <w:proofErr w:type="spellStart"/>
      <w:r w:rsidRPr="00336ECF">
        <w:rPr>
          <w:rFonts w:cs="Times New Roman"/>
        </w:rPr>
        <w:t>par là</w:t>
      </w:r>
      <w:proofErr w:type="spellEnd"/>
      <w:r w:rsidRPr="00336ECF">
        <w:rPr>
          <w:rFonts w:cs="Times New Roman"/>
        </w:rPr>
        <w:t>, freine la croissance (analyse keynésienne).</w:t>
      </w:r>
    </w:p>
    <w:p w:rsidR="00505628" w:rsidRPr="00336ECF" w:rsidRDefault="00505628" w:rsidP="00BC01D7">
      <w:pPr>
        <w:pStyle w:val="Paragraphedeliste"/>
        <w:numPr>
          <w:ilvl w:val="0"/>
          <w:numId w:val="2"/>
        </w:numPr>
        <w:jc w:val="both"/>
        <w:rPr>
          <w:rFonts w:cs="Times New Roman"/>
        </w:rPr>
      </w:pPr>
      <w:r w:rsidRPr="00336ECF">
        <w:rPr>
          <w:rFonts w:cs="Times New Roman"/>
        </w:rPr>
        <w:t xml:space="preserve">L’expression « vivre en dessous de ses moyens » signifie que les pays de la zone euro ne dépensent pas assez : réaliser un excédent extérieur signifie que l’on dépense moins qu’on ne reçoit à l’occasion de ses échanges avec l’étranger. </w:t>
      </w:r>
      <w:r w:rsidR="0033597A">
        <w:rPr>
          <w:rFonts w:cs="Times New Roman"/>
        </w:rPr>
        <w:t>À</w:t>
      </w:r>
      <w:r w:rsidRPr="00336ECF">
        <w:rPr>
          <w:rFonts w:cs="Times New Roman"/>
        </w:rPr>
        <w:t xml:space="preserve"> la limite, l’excédent maximum impliquerait que tout ce qui est produit dans un pays soit destiné à l’extérieur et que la demande intérieure soit nulle ! Il faut donc se garder d</w:t>
      </w:r>
      <w:r w:rsidR="003D5D82">
        <w:rPr>
          <w:rFonts w:cs="Times New Roman"/>
        </w:rPr>
        <w:t>u sens commun qui considère qu’</w:t>
      </w:r>
      <w:r w:rsidRPr="00336ECF">
        <w:rPr>
          <w:rFonts w:cs="Times New Roman"/>
        </w:rPr>
        <w:t>« un excédent est une bonne chose et un déficit doit être combattu ». D’ailleurs, la Commission européenne considère qu’un excédent courant au-delà de 6</w:t>
      </w:r>
      <w:r w:rsidR="003D5D82">
        <w:rPr>
          <w:rFonts w:cs="Times New Roman"/>
        </w:rPr>
        <w:t> </w:t>
      </w:r>
      <w:r w:rsidRPr="00336ECF">
        <w:rPr>
          <w:rFonts w:cs="Times New Roman"/>
        </w:rPr>
        <w:t>% du PIB est un déséquilibre à résorber.</w:t>
      </w:r>
    </w:p>
    <w:p w:rsidR="00505628" w:rsidRPr="00336ECF" w:rsidRDefault="00505628" w:rsidP="00BC01D7">
      <w:pPr>
        <w:pStyle w:val="Paragraphedeliste"/>
        <w:numPr>
          <w:ilvl w:val="0"/>
          <w:numId w:val="2"/>
        </w:numPr>
        <w:jc w:val="both"/>
        <w:rPr>
          <w:rFonts w:cs="Times New Roman"/>
        </w:rPr>
      </w:pPr>
      <w:r w:rsidRPr="00336ECF">
        <w:rPr>
          <w:rFonts w:eastAsia="Times New Roman" w:cs="Times New Roman"/>
          <w:lang w:eastAsia="fr-FR"/>
        </w:rPr>
        <w:t>L’OFCE, dans une logique keynésienne, préconise une politique de relance de la demande par l’investissement. Selon ces économistes, il faut aller beaucoup plus loin que le Plan Jun</w:t>
      </w:r>
      <w:r w:rsidR="0033597A">
        <w:rPr>
          <w:rFonts w:eastAsia="Times New Roman" w:cs="Times New Roman"/>
          <w:lang w:eastAsia="fr-FR"/>
        </w:rPr>
        <w:t>c</w:t>
      </w:r>
      <w:r w:rsidRPr="00336ECF">
        <w:rPr>
          <w:rFonts w:eastAsia="Times New Roman" w:cs="Times New Roman"/>
          <w:lang w:eastAsia="fr-FR"/>
        </w:rPr>
        <w:t>ker dont les ambitions sont limitées</w:t>
      </w:r>
      <w:r w:rsidR="003C71A8">
        <w:rPr>
          <w:rFonts w:eastAsia="Times New Roman" w:cs="Times New Roman"/>
          <w:lang w:eastAsia="fr-FR"/>
        </w:rPr>
        <w:t xml:space="preserve"> (voir </w:t>
      </w:r>
      <w:hyperlink r:id="rId10" w:history="1">
        <w:r w:rsidR="003C71A8">
          <w:rPr>
            <w:rStyle w:val="Lienhypertexte"/>
            <w:rFonts w:eastAsia="Times New Roman" w:cs="Times New Roman"/>
            <w:lang w:eastAsia="fr-FR"/>
          </w:rPr>
          <w:t>ici</w:t>
        </w:r>
      </w:hyperlink>
      <w:r w:rsidR="003C71A8">
        <w:rPr>
          <w:rFonts w:eastAsia="Times New Roman" w:cs="Times New Roman"/>
          <w:lang w:eastAsia="fr-FR"/>
        </w:rPr>
        <w:t xml:space="preserve"> )</w:t>
      </w:r>
      <w:r w:rsidRPr="00336ECF">
        <w:rPr>
          <w:rFonts w:eastAsia="Times New Roman" w:cs="Times New Roman"/>
          <w:lang w:eastAsia="fr-FR"/>
        </w:rPr>
        <w:t>. On peut faire remarquer que l’investissement est décisif pour la reprise car il est à la fois une composante de la demande globale et un facteur d’amélioration de la productivité (permettant alors plus de compétitivité sans recourir à la compression des coûts salariaux et de la demande interne).</w:t>
      </w:r>
    </w:p>
    <w:p w:rsidR="00173664" w:rsidRDefault="00173664" w:rsidP="00BC01D7">
      <w:pPr>
        <w:pStyle w:val="NormalWeb"/>
        <w:jc w:val="both"/>
        <w:rPr>
          <w:u w:val="single"/>
        </w:rPr>
      </w:pPr>
    </w:p>
    <w:p w:rsidR="00173664" w:rsidRPr="00173664" w:rsidRDefault="00173664" w:rsidP="00BC01D7">
      <w:pPr>
        <w:pStyle w:val="NormalWeb"/>
        <w:jc w:val="both"/>
        <w:rPr>
          <w:rFonts w:asciiTheme="minorHAnsi" w:hAnsiTheme="minorHAnsi"/>
          <w:sz w:val="22"/>
          <w:szCs w:val="22"/>
        </w:rPr>
      </w:pPr>
      <w:r w:rsidRPr="00173664">
        <w:rPr>
          <w:rFonts w:asciiTheme="minorHAnsi" w:hAnsiTheme="minorHAnsi"/>
          <w:sz w:val="22"/>
          <w:szCs w:val="22"/>
        </w:rPr>
        <w:lastRenderedPageBreak/>
        <w:t>Question 2 : données chiffrées</w:t>
      </w:r>
    </w:p>
    <w:p w:rsidR="00173664" w:rsidRPr="00173664" w:rsidRDefault="00173664" w:rsidP="00BC01D7">
      <w:pPr>
        <w:pStyle w:val="NormalWeb"/>
        <w:jc w:val="both"/>
      </w:pPr>
      <w:r w:rsidRPr="00173664">
        <w:t>Croissance faible : « </w:t>
      </w:r>
      <w:r w:rsidR="00336ECF" w:rsidRPr="00173664">
        <w:t>la croissance n'y sera que de 1,6</w:t>
      </w:r>
      <w:r w:rsidR="003D5D82">
        <w:t> </w:t>
      </w:r>
      <w:r w:rsidR="00336ECF" w:rsidRPr="00173664">
        <w:t>% pour 2015 et la Commission européenne table sur +</w:t>
      </w:r>
      <w:r w:rsidR="003D5D82">
        <w:t> </w:t>
      </w:r>
      <w:r w:rsidR="00336ECF" w:rsidRPr="00173664">
        <w:t>1,</w:t>
      </w:r>
      <w:r w:rsidRPr="00173664">
        <w:t>8</w:t>
      </w:r>
      <w:r w:rsidR="003D5D82">
        <w:t> </w:t>
      </w:r>
      <w:r w:rsidRPr="00173664">
        <w:t>% en 2016 et +</w:t>
      </w:r>
      <w:r w:rsidR="003D5D82">
        <w:t> </w:t>
      </w:r>
      <w:r w:rsidRPr="00173664">
        <w:t>1,9</w:t>
      </w:r>
      <w:r w:rsidR="003D5D82">
        <w:t> </w:t>
      </w:r>
      <w:r w:rsidRPr="00173664">
        <w:t>% en 2017. »</w:t>
      </w:r>
    </w:p>
    <w:p w:rsidR="00173664" w:rsidRPr="00173664" w:rsidRDefault="00173664" w:rsidP="00BC01D7">
      <w:pPr>
        <w:pStyle w:val="NormalWeb"/>
        <w:jc w:val="both"/>
      </w:pPr>
      <w:r w:rsidRPr="00173664">
        <w:t xml:space="preserve">Chômage élevé : </w:t>
      </w:r>
      <w:r>
        <w:t>« </w:t>
      </w:r>
      <w:r w:rsidR="00336ECF" w:rsidRPr="00173664">
        <w:t>Le chômage en zone euro rest</w:t>
      </w:r>
      <w:r>
        <w:t>e par ailleurs proche des 11</w:t>
      </w:r>
      <w:r w:rsidR="003D5D82">
        <w:t> </w:t>
      </w:r>
      <w:r>
        <w:t>% » ; « </w:t>
      </w:r>
      <w:r w:rsidRPr="00173664">
        <w:t>l'addition des individus au chômage, de ceux voulant un travail mais n'en cherchant plus, et des personnes en situation de sous-emploi, atteint environ 23</w:t>
      </w:r>
      <w:r w:rsidR="003D5D82">
        <w:t> </w:t>
      </w:r>
      <w:r w:rsidRPr="00173664">
        <w:t>% de la pop</w:t>
      </w:r>
      <w:r>
        <w:t>ulation active de la zone euro ».</w:t>
      </w:r>
    </w:p>
    <w:p w:rsidR="00336ECF" w:rsidRPr="00173664" w:rsidRDefault="00173664" w:rsidP="00BC01D7">
      <w:pPr>
        <w:pStyle w:val="NormalWeb"/>
        <w:jc w:val="both"/>
      </w:pPr>
      <w:r>
        <w:t>Déséquilibres extérieurs : « </w:t>
      </w:r>
      <w:r w:rsidR="00336ECF" w:rsidRPr="00173664">
        <w:t>L'excédent courant de la zone euro atteint ainsi 3,8</w:t>
      </w:r>
      <w:r w:rsidR="003D5D82">
        <w:t> </w:t>
      </w:r>
      <w:r w:rsidR="00336ECF" w:rsidRPr="00173664">
        <w:t>% de son PIB en 2015, selon l'OCDE</w:t>
      </w:r>
      <w:r>
        <w:t> » ; « </w:t>
      </w:r>
      <w:r w:rsidR="00336ECF" w:rsidRPr="00173664">
        <w:t>l'Allemagne impulse cette politique</w:t>
      </w:r>
      <w:r w:rsidR="003D5D82">
        <w:t> </w:t>
      </w:r>
      <w:r w:rsidR="00336ECF" w:rsidRPr="00173664">
        <w:t>: son excédent courant atteint désormais 280</w:t>
      </w:r>
      <w:r w:rsidR="003D5D82">
        <w:t> </w:t>
      </w:r>
      <w:r w:rsidR="00336ECF" w:rsidRPr="00173664">
        <w:t>milliards de dollars soit 8,3</w:t>
      </w:r>
      <w:r w:rsidR="003D5D82">
        <w:t> </w:t>
      </w:r>
      <w:r w:rsidR="00336ECF" w:rsidRPr="00173664">
        <w:t>% de son PIB, selon l'OCDE, sur un excédent total de 436</w:t>
      </w:r>
      <w:r w:rsidR="003D5D82">
        <w:t> </w:t>
      </w:r>
      <w:r w:rsidR="00336ECF" w:rsidRPr="00173664">
        <w:t>milliards de dollars pour la zone euro.</w:t>
      </w:r>
      <w:r>
        <w:t> »</w:t>
      </w:r>
    </w:p>
    <w:p w:rsidR="00336ECF" w:rsidRPr="00173664" w:rsidRDefault="00336ECF" w:rsidP="00173664">
      <w:pPr>
        <w:rPr>
          <w:rFonts w:ascii="Times New Roman" w:hAnsi="Times New Roman" w:cs="Times New Roman"/>
          <w:sz w:val="24"/>
          <w:szCs w:val="24"/>
        </w:rPr>
      </w:pPr>
      <w:bookmarkStart w:id="0" w:name="_GoBack"/>
      <w:bookmarkEnd w:id="0"/>
    </w:p>
    <w:sectPr w:rsidR="00336ECF" w:rsidRPr="0017366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60A" w:rsidRDefault="004A760A" w:rsidP="00662639">
      <w:pPr>
        <w:spacing w:after="0" w:line="240" w:lineRule="auto"/>
      </w:pPr>
      <w:r>
        <w:separator/>
      </w:r>
    </w:p>
  </w:endnote>
  <w:endnote w:type="continuationSeparator" w:id="0">
    <w:p w:rsidR="004A760A" w:rsidRDefault="004A760A" w:rsidP="00662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0386522"/>
      <w:docPartObj>
        <w:docPartGallery w:val="Page Numbers (Bottom of Page)"/>
        <w:docPartUnique/>
      </w:docPartObj>
    </w:sdtPr>
    <w:sdtEndPr/>
    <w:sdtContent>
      <w:p w:rsidR="00662639" w:rsidRDefault="00662639">
        <w:pPr>
          <w:pStyle w:val="Pieddepage"/>
          <w:jc w:val="right"/>
        </w:pPr>
        <w:r>
          <w:fldChar w:fldCharType="begin"/>
        </w:r>
        <w:r>
          <w:instrText>PAGE   \* MERGEFORMAT</w:instrText>
        </w:r>
        <w:r>
          <w:fldChar w:fldCharType="separate"/>
        </w:r>
        <w:r w:rsidR="0033597A">
          <w:rPr>
            <w:noProof/>
          </w:rPr>
          <w:t>5</w:t>
        </w:r>
        <w:r>
          <w:fldChar w:fldCharType="end"/>
        </w:r>
      </w:p>
    </w:sdtContent>
  </w:sdt>
  <w:p w:rsidR="00662639" w:rsidRDefault="0066263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60A" w:rsidRDefault="004A760A" w:rsidP="00662639">
      <w:pPr>
        <w:spacing w:after="0" w:line="240" w:lineRule="auto"/>
      </w:pPr>
      <w:r>
        <w:separator/>
      </w:r>
    </w:p>
  </w:footnote>
  <w:footnote w:type="continuationSeparator" w:id="0">
    <w:p w:rsidR="004A760A" w:rsidRDefault="004A760A" w:rsidP="006626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639" w:rsidRDefault="00662639" w:rsidP="00662639">
    <w:pPr>
      <w:pStyle w:val="En-tte"/>
      <w:jc w:val="right"/>
    </w:pPr>
    <w:r>
      <w:t>Actu SES © Hatier – Joëlle Bails</w:t>
    </w:r>
  </w:p>
  <w:p w:rsidR="00662639" w:rsidRDefault="00662639" w:rsidP="00662639">
    <w:pPr>
      <w:pStyle w:val="En-tte"/>
      <w:jc w:val="right"/>
    </w:pPr>
    <w:r>
      <w:t>Fiche d’exploitation pédagogique</w:t>
    </w:r>
  </w:p>
  <w:p w:rsidR="00662639" w:rsidRDefault="00662639" w:rsidP="00662639">
    <w:pPr>
      <w:pStyle w:val="En-tte"/>
    </w:pPr>
  </w:p>
  <w:p w:rsidR="00662639" w:rsidRDefault="00662639">
    <w:pPr>
      <w:pStyle w:val="En-tte"/>
    </w:pPr>
  </w:p>
  <w:p w:rsidR="00662639" w:rsidRDefault="0066263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2578B"/>
    <w:multiLevelType w:val="hybridMultilevel"/>
    <w:tmpl w:val="9F724F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D92549C"/>
    <w:multiLevelType w:val="hybridMultilevel"/>
    <w:tmpl w:val="9F724F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E9B"/>
    <w:rsid w:val="00000D2E"/>
    <w:rsid w:val="00000D41"/>
    <w:rsid w:val="000010C3"/>
    <w:rsid w:val="0000168B"/>
    <w:rsid w:val="00001939"/>
    <w:rsid w:val="00001E5C"/>
    <w:rsid w:val="00001F4B"/>
    <w:rsid w:val="00002420"/>
    <w:rsid w:val="0000286A"/>
    <w:rsid w:val="00004482"/>
    <w:rsid w:val="00004B5F"/>
    <w:rsid w:val="000050E1"/>
    <w:rsid w:val="0000642A"/>
    <w:rsid w:val="000068D4"/>
    <w:rsid w:val="00006FFB"/>
    <w:rsid w:val="000077E8"/>
    <w:rsid w:val="00007920"/>
    <w:rsid w:val="000130CC"/>
    <w:rsid w:val="00013352"/>
    <w:rsid w:val="00013912"/>
    <w:rsid w:val="000143EE"/>
    <w:rsid w:val="0001473F"/>
    <w:rsid w:val="000157C3"/>
    <w:rsid w:val="00015FC2"/>
    <w:rsid w:val="000163A9"/>
    <w:rsid w:val="000208C1"/>
    <w:rsid w:val="00021698"/>
    <w:rsid w:val="0002250B"/>
    <w:rsid w:val="000227B4"/>
    <w:rsid w:val="00023751"/>
    <w:rsid w:val="00024017"/>
    <w:rsid w:val="000248C5"/>
    <w:rsid w:val="000249E3"/>
    <w:rsid w:val="00024BD4"/>
    <w:rsid w:val="0002590B"/>
    <w:rsid w:val="00025BC4"/>
    <w:rsid w:val="000321EC"/>
    <w:rsid w:val="00032400"/>
    <w:rsid w:val="0003279D"/>
    <w:rsid w:val="00033976"/>
    <w:rsid w:val="00033F7B"/>
    <w:rsid w:val="00034667"/>
    <w:rsid w:val="00034744"/>
    <w:rsid w:val="00034C8D"/>
    <w:rsid w:val="0003535C"/>
    <w:rsid w:val="00035F01"/>
    <w:rsid w:val="000378FB"/>
    <w:rsid w:val="00037E61"/>
    <w:rsid w:val="000418A7"/>
    <w:rsid w:val="00041B46"/>
    <w:rsid w:val="0004330C"/>
    <w:rsid w:val="00043ABF"/>
    <w:rsid w:val="000446B4"/>
    <w:rsid w:val="00044AF6"/>
    <w:rsid w:val="00044E9F"/>
    <w:rsid w:val="00044FC2"/>
    <w:rsid w:val="000454C6"/>
    <w:rsid w:val="000469C8"/>
    <w:rsid w:val="0005004E"/>
    <w:rsid w:val="00050231"/>
    <w:rsid w:val="00050B89"/>
    <w:rsid w:val="000510B2"/>
    <w:rsid w:val="00051DF7"/>
    <w:rsid w:val="00052026"/>
    <w:rsid w:val="000525C0"/>
    <w:rsid w:val="000526D4"/>
    <w:rsid w:val="000526E5"/>
    <w:rsid w:val="00052B96"/>
    <w:rsid w:val="00054131"/>
    <w:rsid w:val="00054BEA"/>
    <w:rsid w:val="00055007"/>
    <w:rsid w:val="00055353"/>
    <w:rsid w:val="00056130"/>
    <w:rsid w:val="00056190"/>
    <w:rsid w:val="00056672"/>
    <w:rsid w:val="000572B6"/>
    <w:rsid w:val="00060AA1"/>
    <w:rsid w:val="00061063"/>
    <w:rsid w:val="00061744"/>
    <w:rsid w:val="000618E9"/>
    <w:rsid w:val="00062021"/>
    <w:rsid w:val="00062728"/>
    <w:rsid w:val="00062A58"/>
    <w:rsid w:val="00064865"/>
    <w:rsid w:val="00065252"/>
    <w:rsid w:val="00065696"/>
    <w:rsid w:val="0006595F"/>
    <w:rsid w:val="00065F87"/>
    <w:rsid w:val="000670F0"/>
    <w:rsid w:val="00067C72"/>
    <w:rsid w:val="00067DD6"/>
    <w:rsid w:val="00070FBA"/>
    <w:rsid w:val="00071808"/>
    <w:rsid w:val="00071A15"/>
    <w:rsid w:val="00072279"/>
    <w:rsid w:val="000725C4"/>
    <w:rsid w:val="00072603"/>
    <w:rsid w:val="00072E72"/>
    <w:rsid w:val="00072EFD"/>
    <w:rsid w:val="0007309D"/>
    <w:rsid w:val="00073491"/>
    <w:rsid w:val="000735A7"/>
    <w:rsid w:val="00074A2C"/>
    <w:rsid w:val="00074D89"/>
    <w:rsid w:val="00074E41"/>
    <w:rsid w:val="00075393"/>
    <w:rsid w:val="0007591C"/>
    <w:rsid w:val="00075D24"/>
    <w:rsid w:val="00077839"/>
    <w:rsid w:val="00077D47"/>
    <w:rsid w:val="00080EBB"/>
    <w:rsid w:val="00081F41"/>
    <w:rsid w:val="000829CF"/>
    <w:rsid w:val="00083296"/>
    <w:rsid w:val="000843BA"/>
    <w:rsid w:val="000844E1"/>
    <w:rsid w:val="000846B2"/>
    <w:rsid w:val="00084FC9"/>
    <w:rsid w:val="0008506B"/>
    <w:rsid w:val="00085E7B"/>
    <w:rsid w:val="000867D9"/>
    <w:rsid w:val="0008711A"/>
    <w:rsid w:val="0008769D"/>
    <w:rsid w:val="000878B0"/>
    <w:rsid w:val="00087AC6"/>
    <w:rsid w:val="00087C23"/>
    <w:rsid w:val="00090A76"/>
    <w:rsid w:val="00090B1D"/>
    <w:rsid w:val="00090C6A"/>
    <w:rsid w:val="000910C4"/>
    <w:rsid w:val="0009118B"/>
    <w:rsid w:val="000916F6"/>
    <w:rsid w:val="00091893"/>
    <w:rsid w:val="000918F1"/>
    <w:rsid w:val="000928D8"/>
    <w:rsid w:val="0009319B"/>
    <w:rsid w:val="00094832"/>
    <w:rsid w:val="00094F90"/>
    <w:rsid w:val="00096319"/>
    <w:rsid w:val="00096E19"/>
    <w:rsid w:val="00096FF1"/>
    <w:rsid w:val="000970C3"/>
    <w:rsid w:val="00097237"/>
    <w:rsid w:val="00097435"/>
    <w:rsid w:val="00097625"/>
    <w:rsid w:val="000A0AA4"/>
    <w:rsid w:val="000A0ABA"/>
    <w:rsid w:val="000A20F1"/>
    <w:rsid w:val="000A2541"/>
    <w:rsid w:val="000A43B1"/>
    <w:rsid w:val="000A44CC"/>
    <w:rsid w:val="000A4ECA"/>
    <w:rsid w:val="000A5749"/>
    <w:rsid w:val="000A5AD2"/>
    <w:rsid w:val="000A6026"/>
    <w:rsid w:val="000A609E"/>
    <w:rsid w:val="000A6844"/>
    <w:rsid w:val="000A6FE3"/>
    <w:rsid w:val="000A7154"/>
    <w:rsid w:val="000A7552"/>
    <w:rsid w:val="000B0F7A"/>
    <w:rsid w:val="000B1183"/>
    <w:rsid w:val="000B1A1B"/>
    <w:rsid w:val="000B1AB0"/>
    <w:rsid w:val="000B1EF2"/>
    <w:rsid w:val="000B28B2"/>
    <w:rsid w:val="000B2E26"/>
    <w:rsid w:val="000B2F74"/>
    <w:rsid w:val="000B3C71"/>
    <w:rsid w:val="000B4A8A"/>
    <w:rsid w:val="000B6A60"/>
    <w:rsid w:val="000B6A7A"/>
    <w:rsid w:val="000B7414"/>
    <w:rsid w:val="000C0F0E"/>
    <w:rsid w:val="000C12A2"/>
    <w:rsid w:val="000C13AA"/>
    <w:rsid w:val="000C17E1"/>
    <w:rsid w:val="000C1FEE"/>
    <w:rsid w:val="000C1FF0"/>
    <w:rsid w:val="000C2267"/>
    <w:rsid w:val="000C2BD5"/>
    <w:rsid w:val="000C379E"/>
    <w:rsid w:val="000C3D6B"/>
    <w:rsid w:val="000C4A3E"/>
    <w:rsid w:val="000C5332"/>
    <w:rsid w:val="000C69FA"/>
    <w:rsid w:val="000D03A8"/>
    <w:rsid w:val="000D0AD3"/>
    <w:rsid w:val="000D1C1E"/>
    <w:rsid w:val="000D1FBC"/>
    <w:rsid w:val="000D2280"/>
    <w:rsid w:val="000D262A"/>
    <w:rsid w:val="000D33E7"/>
    <w:rsid w:val="000D3877"/>
    <w:rsid w:val="000D42C0"/>
    <w:rsid w:val="000D5A7C"/>
    <w:rsid w:val="000D6CAC"/>
    <w:rsid w:val="000D6D1B"/>
    <w:rsid w:val="000E03F4"/>
    <w:rsid w:val="000E0E68"/>
    <w:rsid w:val="000E10D5"/>
    <w:rsid w:val="000E1E64"/>
    <w:rsid w:val="000E301E"/>
    <w:rsid w:val="000E38AD"/>
    <w:rsid w:val="000E3A47"/>
    <w:rsid w:val="000E3CBB"/>
    <w:rsid w:val="000E43A7"/>
    <w:rsid w:val="000E54AC"/>
    <w:rsid w:val="000E6306"/>
    <w:rsid w:val="000E6678"/>
    <w:rsid w:val="000E6C42"/>
    <w:rsid w:val="000E7F39"/>
    <w:rsid w:val="000F0820"/>
    <w:rsid w:val="000F1A51"/>
    <w:rsid w:val="000F1B44"/>
    <w:rsid w:val="000F5935"/>
    <w:rsid w:val="000F5CF8"/>
    <w:rsid w:val="000F630D"/>
    <w:rsid w:val="000F6AC7"/>
    <w:rsid w:val="00100293"/>
    <w:rsid w:val="0010083F"/>
    <w:rsid w:val="00101BBF"/>
    <w:rsid w:val="00101D0A"/>
    <w:rsid w:val="001024DE"/>
    <w:rsid w:val="001025BE"/>
    <w:rsid w:val="00102B9F"/>
    <w:rsid w:val="00103955"/>
    <w:rsid w:val="001057BB"/>
    <w:rsid w:val="00105DEC"/>
    <w:rsid w:val="001065B5"/>
    <w:rsid w:val="001079FD"/>
    <w:rsid w:val="001108F1"/>
    <w:rsid w:val="001110B1"/>
    <w:rsid w:val="0011184C"/>
    <w:rsid w:val="0011272C"/>
    <w:rsid w:val="00113C0D"/>
    <w:rsid w:val="00114792"/>
    <w:rsid w:val="00114C77"/>
    <w:rsid w:val="001153B0"/>
    <w:rsid w:val="00115990"/>
    <w:rsid w:val="00116229"/>
    <w:rsid w:val="001164E5"/>
    <w:rsid w:val="00116C5B"/>
    <w:rsid w:val="0011722F"/>
    <w:rsid w:val="00120E43"/>
    <w:rsid w:val="00121A91"/>
    <w:rsid w:val="00121EE7"/>
    <w:rsid w:val="0012244E"/>
    <w:rsid w:val="00122AB1"/>
    <w:rsid w:val="00123526"/>
    <w:rsid w:val="00124453"/>
    <w:rsid w:val="00124FCB"/>
    <w:rsid w:val="00125444"/>
    <w:rsid w:val="00125E46"/>
    <w:rsid w:val="00126892"/>
    <w:rsid w:val="00126902"/>
    <w:rsid w:val="00130262"/>
    <w:rsid w:val="001314AE"/>
    <w:rsid w:val="001315D9"/>
    <w:rsid w:val="00132EE3"/>
    <w:rsid w:val="00133494"/>
    <w:rsid w:val="00133B0B"/>
    <w:rsid w:val="00134AA9"/>
    <w:rsid w:val="0013545E"/>
    <w:rsid w:val="001356DF"/>
    <w:rsid w:val="00135957"/>
    <w:rsid w:val="00140044"/>
    <w:rsid w:val="001401FB"/>
    <w:rsid w:val="00140ACE"/>
    <w:rsid w:val="00140E66"/>
    <w:rsid w:val="00141221"/>
    <w:rsid w:val="00141CC3"/>
    <w:rsid w:val="00142AA8"/>
    <w:rsid w:val="00144D47"/>
    <w:rsid w:val="00145E54"/>
    <w:rsid w:val="0014624F"/>
    <w:rsid w:val="0014630A"/>
    <w:rsid w:val="001477F5"/>
    <w:rsid w:val="00150299"/>
    <w:rsid w:val="00151A63"/>
    <w:rsid w:val="00151E91"/>
    <w:rsid w:val="00152A52"/>
    <w:rsid w:val="00152C1C"/>
    <w:rsid w:val="001550DF"/>
    <w:rsid w:val="00155F89"/>
    <w:rsid w:val="001563D4"/>
    <w:rsid w:val="00160C47"/>
    <w:rsid w:val="00160F9B"/>
    <w:rsid w:val="001617EB"/>
    <w:rsid w:val="00161A8B"/>
    <w:rsid w:val="00161FC7"/>
    <w:rsid w:val="0016213C"/>
    <w:rsid w:val="001631C0"/>
    <w:rsid w:val="001632C2"/>
    <w:rsid w:val="0016377D"/>
    <w:rsid w:val="0016461B"/>
    <w:rsid w:val="001646C6"/>
    <w:rsid w:val="00165052"/>
    <w:rsid w:val="00165100"/>
    <w:rsid w:val="001652D4"/>
    <w:rsid w:val="001654D9"/>
    <w:rsid w:val="00165F6B"/>
    <w:rsid w:val="001662C9"/>
    <w:rsid w:val="00166AB9"/>
    <w:rsid w:val="0016725E"/>
    <w:rsid w:val="00167354"/>
    <w:rsid w:val="0016745B"/>
    <w:rsid w:val="00170B6A"/>
    <w:rsid w:val="001710F1"/>
    <w:rsid w:val="001727BF"/>
    <w:rsid w:val="00172F6E"/>
    <w:rsid w:val="0017329F"/>
    <w:rsid w:val="00173664"/>
    <w:rsid w:val="0017425D"/>
    <w:rsid w:val="001745DE"/>
    <w:rsid w:val="00176945"/>
    <w:rsid w:val="001773A3"/>
    <w:rsid w:val="0017780D"/>
    <w:rsid w:val="00177C9E"/>
    <w:rsid w:val="00180263"/>
    <w:rsid w:val="001812CE"/>
    <w:rsid w:val="00182084"/>
    <w:rsid w:val="0018212C"/>
    <w:rsid w:val="0018261A"/>
    <w:rsid w:val="00183E19"/>
    <w:rsid w:val="00185160"/>
    <w:rsid w:val="001867EF"/>
    <w:rsid w:val="00186920"/>
    <w:rsid w:val="00186C1D"/>
    <w:rsid w:val="00186E16"/>
    <w:rsid w:val="00187CB3"/>
    <w:rsid w:val="00190D5C"/>
    <w:rsid w:val="0019103A"/>
    <w:rsid w:val="001916D3"/>
    <w:rsid w:val="00191996"/>
    <w:rsid w:val="00191E13"/>
    <w:rsid w:val="00191F23"/>
    <w:rsid w:val="001923DD"/>
    <w:rsid w:val="00192CFD"/>
    <w:rsid w:val="00192D44"/>
    <w:rsid w:val="00193EFE"/>
    <w:rsid w:val="00194F86"/>
    <w:rsid w:val="001951F8"/>
    <w:rsid w:val="001A02D0"/>
    <w:rsid w:val="001A06D4"/>
    <w:rsid w:val="001A0E55"/>
    <w:rsid w:val="001A13EE"/>
    <w:rsid w:val="001A182F"/>
    <w:rsid w:val="001A1EB1"/>
    <w:rsid w:val="001A1FEC"/>
    <w:rsid w:val="001A2C24"/>
    <w:rsid w:val="001A2E37"/>
    <w:rsid w:val="001A3E59"/>
    <w:rsid w:val="001A5274"/>
    <w:rsid w:val="001A6236"/>
    <w:rsid w:val="001A7580"/>
    <w:rsid w:val="001B0283"/>
    <w:rsid w:val="001B02E7"/>
    <w:rsid w:val="001B12A2"/>
    <w:rsid w:val="001B144E"/>
    <w:rsid w:val="001B2C31"/>
    <w:rsid w:val="001B3DA3"/>
    <w:rsid w:val="001B3DCF"/>
    <w:rsid w:val="001B4674"/>
    <w:rsid w:val="001B4EB3"/>
    <w:rsid w:val="001B51BB"/>
    <w:rsid w:val="001B5357"/>
    <w:rsid w:val="001B550B"/>
    <w:rsid w:val="001B5A4B"/>
    <w:rsid w:val="001B60D3"/>
    <w:rsid w:val="001B789A"/>
    <w:rsid w:val="001B7DA0"/>
    <w:rsid w:val="001C0168"/>
    <w:rsid w:val="001C01D3"/>
    <w:rsid w:val="001C0762"/>
    <w:rsid w:val="001C09D3"/>
    <w:rsid w:val="001C2406"/>
    <w:rsid w:val="001C2A82"/>
    <w:rsid w:val="001C46C3"/>
    <w:rsid w:val="001C4DB2"/>
    <w:rsid w:val="001C51FB"/>
    <w:rsid w:val="001C77DC"/>
    <w:rsid w:val="001D1984"/>
    <w:rsid w:val="001D289F"/>
    <w:rsid w:val="001D2B67"/>
    <w:rsid w:val="001D373C"/>
    <w:rsid w:val="001D3E3F"/>
    <w:rsid w:val="001D46F7"/>
    <w:rsid w:val="001D4F6F"/>
    <w:rsid w:val="001D5862"/>
    <w:rsid w:val="001D5A7C"/>
    <w:rsid w:val="001D6A23"/>
    <w:rsid w:val="001D6AE8"/>
    <w:rsid w:val="001D7879"/>
    <w:rsid w:val="001E0BCF"/>
    <w:rsid w:val="001E126B"/>
    <w:rsid w:val="001E388E"/>
    <w:rsid w:val="001E3F24"/>
    <w:rsid w:val="001E422A"/>
    <w:rsid w:val="001E483B"/>
    <w:rsid w:val="001E5217"/>
    <w:rsid w:val="001E5A2F"/>
    <w:rsid w:val="001E5DAE"/>
    <w:rsid w:val="001E7B04"/>
    <w:rsid w:val="001E7E26"/>
    <w:rsid w:val="001F0B01"/>
    <w:rsid w:val="001F1121"/>
    <w:rsid w:val="001F494E"/>
    <w:rsid w:val="001F50D1"/>
    <w:rsid w:val="001F779E"/>
    <w:rsid w:val="001F7807"/>
    <w:rsid w:val="00200EE6"/>
    <w:rsid w:val="0020181C"/>
    <w:rsid w:val="002021EB"/>
    <w:rsid w:val="002025C7"/>
    <w:rsid w:val="00204421"/>
    <w:rsid w:val="00204B36"/>
    <w:rsid w:val="00204D2F"/>
    <w:rsid w:val="002063A0"/>
    <w:rsid w:val="002063E4"/>
    <w:rsid w:val="00206C4F"/>
    <w:rsid w:val="00210044"/>
    <w:rsid w:val="002115A7"/>
    <w:rsid w:val="0021294B"/>
    <w:rsid w:val="002138EC"/>
    <w:rsid w:val="00214650"/>
    <w:rsid w:val="00214A07"/>
    <w:rsid w:val="00214B3E"/>
    <w:rsid w:val="00215556"/>
    <w:rsid w:val="002156C4"/>
    <w:rsid w:val="0021692D"/>
    <w:rsid w:val="00222CDB"/>
    <w:rsid w:val="00222DD8"/>
    <w:rsid w:val="00222E55"/>
    <w:rsid w:val="00223B0B"/>
    <w:rsid w:val="00224427"/>
    <w:rsid w:val="00225703"/>
    <w:rsid w:val="002262BB"/>
    <w:rsid w:val="002265A8"/>
    <w:rsid w:val="00226740"/>
    <w:rsid w:val="00227CC1"/>
    <w:rsid w:val="00230628"/>
    <w:rsid w:val="002307E6"/>
    <w:rsid w:val="00230A27"/>
    <w:rsid w:val="00232213"/>
    <w:rsid w:val="002325A1"/>
    <w:rsid w:val="0023348C"/>
    <w:rsid w:val="00233868"/>
    <w:rsid w:val="002343F8"/>
    <w:rsid w:val="0023496E"/>
    <w:rsid w:val="002349C7"/>
    <w:rsid w:val="00234D5C"/>
    <w:rsid w:val="002354B7"/>
    <w:rsid w:val="00235BC8"/>
    <w:rsid w:val="00235F25"/>
    <w:rsid w:val="0023649A"/>
    <w:rsid w:val="00236B86"/>
    <w:rsid w:val="002372E5"/>
    <w:rsid w:val="00237807"/>
    <w:rsid w:val="002401D9"/>
    <w:rsid w:val="00240251"/>
    <w:rsid w:val="00241421"/>
    <w:rsid w:val="0024186B"/>
    <w:rsid w:val="0024188F"/>
    <w:rsid w:val="00241CC2"/>
    <w:rsid w:val="002422EF"/>
    <w:rsid w:val="002423BE"/>
    <w:rsid w:val="0024263B"/>
    <w:rsid w:val="00242A79"/>
    <w:rsid w:val="0024337E"/>
    <w:rsid w:val="00243769"/>
    <w:rsid w:val="0024412C"/>
    <w:rsid w:val="002448AD"/>
    <w:rsid w:val="00245275"/>
    <w:rsid w:val="002452FD"/>
    <w:rsid w:val="002460A7"/>
    <w:rsid w:val="002472E0"/>
    <w:rsid w:val="002476A6"/>
    <w:rsid w:val="00247A58"/>
    <w:rsid w:val="0025017F"/>
    <w:rsid w:val="002511BD"/>
    <w:rsid w:val="00251F90"/>
    <w:rsid w:val="00253DDF"/>
    <w:rsid w:val="00254A38"/>
    <w:rsid w:val="00255481"/>
    <w:rsid w:val="00255668"/>
    <w:rsid w:val="0025571A"/>
    <w:rsid w:val="00255935"/>
    <w:rsid w:val="00256CAC"/>
    <w:rsid w:val="00257078"/>
    <w:rsid w:val="002628A7"/>
    <w:rsid w:val="00262978"/>
    <w:rsid w:val="002629AD"/>
    <w:rsid w:val="00262EC8"/>
    <w:rsid w:val="002632C5"/>
    <w:rsid w:val="0026361D"/>
    <w:rsid w:val="00263FBF"/>
    <w:rsid w:val="0026416F"/>
    <w:rsid w:val="0027128F"/>
    <w:rsid w:val="002716DE"/>
    <w:rsid w:val="0027172F"/>
    <w:rsid w:val="00271A68"/>
    <w:rsid w:val="00271CE8"/>
    <w:rsid w:val="00272AEC"/>
    <w:rsid w:val="00272B33"/>
    <w:rsid w:val="0027349C"/>
    <w:rsid w:val="0027397D"/>
    <w:rsid w:val="00275199"/>
    <w:rsid w:val="00275E22"/>
    <w:rsid w:val="00275F4B"/>
    <w:rsid w:val="00276400"/>
    <w:rsid w:val="002767B3"/>
    <w:rsid w:val="00276F89"/>
    <w:rsid w:val="00277867"/>
    <w:rsid w:val="00277A95"/>
    <w:rsid w:val="00280B40"/>
    <w:rsid w:val="00281857"/>
    <w:rsid w:val="00281CD2"/>
    <w:rsid w:val="002825A5"/>
    <w:rsid w:val="00282734"/>
    <w:rsid w:val="002829D6"/>
    <w:rsid w:val="00282EB6"/>
    <w:rsid w:val="00283067"/>
    <w:rsid w:val="002836F6"/>
    <w:rsid w:val="0028475A"/>
    <w:rsid w:val="00284C37"/>
    <w:rsid w:val="0029014E"/>
    <w:rsid w:val="002911DF"/>
    <w:rsid w:val="002923AD"/>
    <w:rsid w:val="00294107"/>
    <w:rsid w:val="002945F5"/>
    <w:rsid w:val="00294747"/>
    <w:rsid w:val="0029530F"/>
    <w:rsid w:val="002953CB"/>
    <w:rsid w:val="002959E1"/>
    <w:rsid w:val="00295E06"/>
    <w:rsid w:val="0029633E"/>
    <w:rsid w:val="002970E8"/>
    <w:rsid w:val="002A07E2"/>
    <w:rsid w:val="002A08CB"/>
    <w:rsid w:val="002A0AB4"/>
    <w:rsid w:val="002A0C84"/>
    <w:rsid w:val="002A1B4F"/>
    <w:rsid w:val="002A2F87"/>
    <w:rsid w:val="002A3F71"/>
    <w:rsid w:val="002A46DC"/>
    <w:rsid w:val="002A4A36"/>
    <w:rsid w:val="002A513E"/>
    <w:rsid w:val="002A5EF8"/>
    <w:rsid w:val="002A6F97"/>
    <w:rsid w:val="002A79CF"/>
    <w:rsid w:val="002B06E1"/>
    <w:rsid w:val="002B0B70"/>
    <w:rsid w:val="002B1934"/>
    <w:rsid w:val="002B2148"/>
    <w:rsid w:val="002B390C"/>
    <w:rsid w:val="002B3C67"/>
    <w:rsid w:val="002B4A9A"/>
    <w:rsid w:val="002B4C9A"/>
    <w:rsid w:val="002B55E5"/>
    <w:rsid w:val="002B59D0"/>
    <w:rsid w:val="002B620F"/>
    <w:rsid w:val="002B6A73"/>
    <w:rsid w:val="002B7911"/>
    <w:rsid w:val="002B7987"/>
    <w:rsid w:val="002B7D07"/>
    <w:rsid w:val="002B7E7C"/>
    <w:rsid w:val="002C1109"/>
    <w:rsid w:val="002C18CA"/>
    <w:rsid w:val="002C2057"/>
    <w:rsid w:val="002C2381"/>
    <w:rsid w:val="002C3420"/>
    <w:rsid w:val="002C38D0"/>
    <w:rsid w:val="002C41A4"/>
    <w:rsid w:val="002C4BC3"/>
    <w:rsid w:val="002C4CBA"/>
    <w:rsid w:val="002C695A"/>
    <w:rsid w:val="002C7E42"/>
    <w:rsid w:val="002D0E5A"/>
    <w:rsid w:val="002D12B3"/>
    <w:rsid w:val="002D1D7F"/>
    <w:rsid w:val="002D1F5B"/>
    <w:rsid w:val="002D3051"/>
    <w:rsid w:val="002D5558"/>
    <w:rsid w:val="002D5D31"/>
    <w:rsid w:val="002D64B1"/>
    <w:rsid w:val="002D6B8E"/>
    <w:rsid w:val="002D749A"/>
    <w:rsid w:val="002E1375"/>
    <w:rsid w:val="002E24E8"/>
    <w:rsid w:val="002E2C9B"/>
    <w:rsid w:val="002E39F8"/>
    <w:rsid w:val="002E3DC3"/>
    <w:rsid w:val="002E40B5"/>
    <w:rsid w:val="002E4102"/>
    <w:rsid w:val="002E5951"/>
    <w:rsid w:val="002E63FC"/>
    <w:rsid w:val="002E651D"/>
    <w:rsid w:val="002E68F1"/>
    <w:rsid w:val="002E7868"/>
    <w:rsid w:val="002F01E8"/>
    <w:rsid w:val="002F1371"/>
    <w:rsid w:val="002F1938"/>
    <w:rsid w:val="002F1A5C"/>
    <w:rsid w:val="002F2388"/>
    <w:rsid w:val="002F2973"/>
    <w:rsid w:val="002F29A6"/>
    <w:rsid w:val="002F2FAA"/>
    <w:rsid w:val="002F37C2"/>
    <w:rsid w:val="002F3AA8"/>
    <w:rsid w:val="002F41C4"/>
    <w:rsid w:val="002F486F"/>
    <w:rsid w:val="002F5250"/>
    <w:rsid w:val="002F66C8"/>
    <w:rsid w:val="002F671E"/>
    <w:rsid w:val="002F6BB0"/>
    <w:rsid w:val="002F7892"/>
    <w:rsid w:val="002F7E8C"/>
    <w:rsid w:val="00302318"/>
    <w:rsid w:val="00302E65"/>
    <w:rsid w:val="00303E2A"/>
    <w:rsid w:val="00305EE1"/>
    <w:rsid w:val="00310217"/>
    <w:rsid w:val="0031042D"/>
    <w:rsid w:val="00310F15"/>
    <w:rsid w:val="00310FC9"/>
    <w:rsid w:val="003116D0"/>
    <w:rsid w:val="003124D6"/>
    <w:rsid w:val="00312DFE"/>
    <w:rsid w:val="00313B6E"/>
    <w:rsid w:val="00313C21"/>
    <w:rsid w:val="0031524D"/>
    <w:rsid w:val="00315AEA"/>
    <w:rsid w:val="00315DAC"/>
    <w:rsid w:val="00316984"/>
    <w:rsid w:val="00316A94"/>
    <w:rsid w:val="003178DD"/>
    <w:rsid w:val="00317CDF"/>
    <w:rsid w:val="003209C8"/>
    <w:rsid w:val="00320ABE"/>
    <w:rsid w:val="003212AE"/>
    <w:rsid w:val="00321A98"/>
    <w:rsid w:val="00321C0D"/>
    <w:rsid w:val="00322170"/>
    <w:rsid w:val="0032322F"/>
    <w:rsid w:val="003233F0"/>
    <w:rsid w:val="003238CE"/>
    <w:rsid w:val="00323C68"/>
    <w:rsid w:val="00324C51"/>
    <w:rsid w:val="00324DF8"/>
    <w:rsid w:val="00326FC2"/>
    <w:rsid w:val="003274CE"/>
    <w:rsid w:val="0032756D"/>
    <w:rsid w:val="003312D8"/>
    <w:rsid w:val="00331369"/>
    <w:rsid w:val="003321A0"/>
    <w:rsid w:val="00332E12"/>
    <w:rsid w:val="003334D9"/>
    <w:rsid w:val="00333ADD"/>
    <w:rsid w:val="00333C42"/>
    <w:rsid w:val="00333F78"/>
    <w:rsid w:val="003344A8"/>
    <w:rsid w:val="003346B1"/>
    <w:rsid w:val="0033496F"/>
    <w:rsid w:val="003351F6"/>
    <w:rsid w:val="0033597A"/>
    <w:rsid w:val="00335CD3"/>
    <w:rsid w:val="00335F5C"/>
    <w:rsid w:val="00336819"/>
    <w:rsid w:val="00336A14"/>
    <w:rsid w:val="00336ECF"/>
    <w:rsid w:val="00337340"/>
    <w:rsid w:val="003405B6"/>
    <w:rsid w:val="003409FC"/>
    <w:rsid w:val="00340A31"/>
    <w:rsid w:val="00340DA2"/>
    <w:rsid w:val="00341E00"/>
    <w:rsid w:val="003422A9"/>
    <w:rsid w:val="003425A7"/>
    <w:rsid w:val="00342BAE"/>
    <w:rsid w:val="00342C88"/>
    <w:rsid w:val="0034347D"/>
    <w:rsid w:val="00343D2B"/>
    <w:rsid w:val="00344B35"/>
    <w:rsid w:val="0034587E"/>
    <w:rsid w:val="00345D9C"/>
    <w:rsid w:val="00345E0F"/>
    <w:rsid w:val="00346257"/>
    <w:rsid w:val="0034682A"/>
    <w:rsid w:val="00346B3C"/>
    <w:rsid w:val="00346F1B"/>
    <w:rsid w:val="0035069C"/>
    <w:rsid w:val="00350BC3"/>
    <w:rsid w:val="00350CE4"/>
    <w:rsid w:val="00350D40"/>
    <w:rsid w:val="0035158E"/>
    <w:rsid w:val="00352536"/>
    <w:rsid w:val="0035308D"/>
    <w:rsid w:val="003540AE"/>
    <w:rsid w:val="003540DC"/>
    <w:rsid w:val="0035437D"/>
    <w:rsid w:val="00354618"/>
    <w:rsid w:val="00354977"/>
    <w:rsid w:val="003549A3"/>
    <w:rsid w:val="0035577A"/>
    <w:rsid w:val="0035699E"/>
    <w:rsid w:val="003573B6"/>
    <w:rsid w:val="00357524"/>
    <w:rsid w:val="0035773C"/>
    <w:rsid w:val="003605E2"/>
    <w:rsid w:val="003607ED"/>
    <w:rsid w:val="003614CE"/>
    <w:rsid w:val="00361D35"/>
    <w:rsid w:val="0036227D"/>
    <w:rsid w:val="003634F9"/>
    <w:rsid w:val="00364618"/>
    <w:rsid w:val="00364BBC"/>
    <w:rsid w:val="00365244"/>
    <w:rsid w:val="00366301"/>
    <w:rsid w:val="0036676B"/>
    <w:rsid w:val="00367299"/>
    <w:rsid w:val="0036798F"/>
    <w:rsid w:val="00367BBB"/>
    <w:rsid w:val="00370DD0"/>
    <w:rsid w:val="003710F3"/>
    <w:rsid w:val="0037198C"/>
    <w:rsid w:val="00372A84"/>
    <w:rsid w:val="00372EDC"/>
    <w:rsid w:val="00374D18"/>
    <w:rsid w:val="00376312"/>
    <w:rsid w:val="003766C8"/>
    <w:rsid w:val="00377364"/>
    <w:rsid w:val="003809CC"/>
    <w:rsid w:val="00380EFF"/>
    <w:rsid w:val="003814C6"/>
    <w:rsid w:val="003814DD"/>
    <w:rsid w:val="00381745"/>
    <w:rsid w:val="00381CEE"/>
    <w:rsid w:val="00381E13"/>
    <w:rsid w:val="003821C1"/>
    <w:rsid w:val="003838AB"/>
    <w:rsid w:val="0038403C"/>
    <w:rsid w:val="00384D72"/>
    <w:rsid w:val="0038576A"/>
    <w:rsid w:val="00385921"/>
    <w:rsid w:val="003859E1"/>
    <w:rsid w:val="003871CD"/>
    <w:rsid w:val="00387345"/>
    <w:rsid w:val="003906A7"/>
    <w:rsid w:val="00390946"/>
    <w:rsid w:val="00390C0B"/>
    <w:rsid w:val="00390C83"/>
    <w:rsid w:val="00390DC3"/>
    <w:rsid w:val="003917D9"/>
    <w:rsid w:val="00391BE6"/>
    <w:rsid w:val="00391E40"/>
    <w:rsid w:val="00393388"/>
    <w:rsid w:val="00395214"/>
    <w:rsid w:val="00396564"/>
    <w:rsid w:val="003A0638"/>
    <w:rsid w:val="003A084E"/>
    <w:rsid w:val="003A0DA7"/>
    <w:rsid w:val="003A1A5E"/>
    <w:rsid w:val="003A1F07"/>
    <w:rsid w:val="003A1FB2"/>
    <w:rsid w:val="003A2E03"/>
    <w:rsid w:val="003A3880"/>
    <w:rsid w:val="003A5116"/>
    <w:rsid w:val="003A5193"/>
    <w:rsid w:val="003A5294"/>
    <w:rsid w:val="003A5CB2"/>
    <w:rsid w:val="003A6C15"/>
    <w:rsid w:val="003A7326"/>
    <w:rsid w:val="003A7A33"/>
    <w:rsid w:val="003A7D77"/>
    <w:rsid w:val="003B10D6"/>
    <w:rsid w:val="003B2BBC"/>
    <w:rsid w:val="003B2EC2"/>
    <w:rsid w:val="003B304B"/>
    <w:rsid w:val="003B3396"/>
    <w:rsid w:val="003B3ACC"/>
    <w:rsid w:val="003B3BB9"/>
    <w:rsid w:val="003B4A46"/>
    <w:rsid w:val="003B54EE"/>
    <w:rsid w:val="003B598E"/>
    <w:rsid w:val="003B6278"/>
    <w:rsid w:val="003B730F"/>
    <w:rsid w:val="003B7B90"/>
    <w:rsid w:val="003B7F0A"/>
    <w:rsid w:val="003C08AD"/>
    <w:rsid w:val="003C14B7"/>
    <w:rsid w:val="003C1D07"/>
    <w:rsid w:val="003C1FA6"/>
    <w:rsid w:val="003C2133"/>
    <w:rsid w:val="003C2442"/>
    <w:rsid w:val="003C4FB6"/>
    <w:rsid w:val="003C5266"/>
    <w:rsid w:val="003C5A88"/>
    <w:rsid w:val="003C5B40"/>
    <w:rsid w:val="003C6676"/>
    <w:rsid w:val="003C71A8"/>
    <w:rsid w:val="003D1DDA"/>
    <w:rsid w:val="003D2645"/>
    <w:rsid w:val="003D4AF3"/>
    <w:rsid w:val="003D5276"/>
    <w:rsid w:val="003D5C8B"/>
    <w:rsid w:val="003D5D82"/>
    <w:rsid w:val="003D6B73"/>
    <w:rsid w:val="003D6BE5"/>
    <w:rsid w:val="003D79DE"/>
    <w:rsid w:val="003D7BE8"/>
    <w:rsid w:val="003E0553"/>
    <w:rsid w:val="003E07D4"/>
    <w:rsid w:val="003E144B"/>
    <w:rsid w:val="003E1769"/>
    <w:rsid w:val="003E1983"/>
    <w:rsid w:val="003E25F7"/>
    <w:rsid w:val="003E283E"/>
    <w:rsid w:val="003E31CF"/>
    <w:rsid w:val="003E376B"/>
    <w:rsid w:val="003E38C4"/>
    <w:rsid w:val="003E39D8"/>
    <w:rsid w:val="003E3C73"/>
    <w:rsid w:val="003E46EE"/>
    <w:rsid w:val="003E52EC"/>
    <w:rsid w:val="003E6D45"/>
    <w:rsid w:val="003E6FB3"/>
    <w:rsid w:val="003F05B3"/>
    <w:rsid w:val="003F07FA"/>
    <w:rsid w:val="003F0DC0"/>
    <w:rsid w:val="003F0F22"/>
    <w:rsid w:val="003F213C"/>
    <w:rsid w:val="003F271A"/>
    <w:rsid w:val="003F2AEB"/>
    <w:rsid w:val="003F2C02"/>
    <w:rsid w:val="003F38F9"/>
    <w:rsid w:val="003F4168"/>
    <w:rsid w:val="003F49C7"/>
    <w:rsid w:val="003F553F"/>
    <w:rsid w:val="003F6602"/>
    <w:rsid w:val="003F6BF6"/>
    <w:rsid w:val="003F70CA"/>
    <w:rsid w:val="003F7AA2"/>
    <w:rsid w:val="0040083E"/>
    <w:rsid w:val="0040102C"/>
    <w:rsid w:val="00401F45"/>
    <w:rsid w:val="00402786"/>
    <w:rsid w:val="00402C46"/>
    <w:rsid w:val="0040351C"/>
    <w:rsid w:val="00403E06"/>
    <w:rsid w:val="0040498B"/>
    <w:rsid w:val="0040556A"/>
    <w:rsid w:val="00405B0F"/>
    <w:rsid w:val="004067B6"/>
    <w:rsid w:val="00406C53"/>
    <w:rsid w:val="00406E98"/>
    <w:rsid w:val="004077F4"/>
    <w:rsid w:val="00407A83"/>
    <w:rsid w:val="00407B39"/>
    <w:rsid w:val="00410296"/>
    <w:rsid w:val="0041168F"/>
    <w:rsid w:val="0041295E"/>
    <w:rsid w:val="00412974"/>
    <w:rsid w:val="0041407D"/>
    <w:rsid w:val="004141E3"/>
    <w:rsid w:val="00414E08"/>
    <w:rsid w:val="0041569C"/>
    <w:rsid w:val="00416461"/>
    <w:rsid w:val="00417979"/>
    <w:rsid w:val="00417ABB"/>
    <w:rsid w:val="0042250E"/>
    <w:rsid w:val="00423125"/>
    <w:rsid w:val="004234DF"/>
    <w:rsid w:val="00423B40"/>
    <w:rsid w:val="004240D3"/>
    <w:rsid w:val="0042497F"/>
    <w:rsid w:val="00424E55"/>
    <w:rsid w:val="00424F46"/>
    <w:rsid w:val="0042504F"/>
    <w:rsid w:val="0042526A"/>
    <w:rsid w:val="00425288"/>
    <w:rsid w:val="00425EE4"/>
    <w:rsid w:val="0042638B"/>
    <w:rsid w:val="004269BA"/>
    <w:rsid w:val="004276BB"/>
    <w:rsid w:val="004302F4"/>
    <w:rsid w:val="00431E27"/>
    <w:rsid w:val="00433C71"/>
    <w:rsid w:val="0043678C"/>
    <w:rsid w:val="00436902"/>
    <w:rsid w:val="00436B93"/>
    <w:rsid w:val="004373C2"/>
    <w:rsid w:val="00437B73"/>
    <w:rsid w:val="00437D95"/>
    <w:rsid w:val="00441095"/>
    <w:rsid w:val="004419AC"/>
    <w:rsid w:val="004419F2"/>
    <w:rsid w:val="0044222A"/>
    <w:rsid w:val="00443102"/>
    <w:rsid w:val="00443ACB"/>
    <w:rsid w:val="00444D8E"/>
    <w:rsid w:val="00445645"/>
    <w:rsid w:val="0045140B"/>
    <w:rsid w:val="00451BAC"/>
    <w:rsid w:val="0045244E"/>
    <w:rsid w:val="004527B1"/>
    <w:rsid w:val="004530BA"/>
    <w:rsid w:val="00453225"/>
    <w:rsid w:val="00455821"/>
    <w:rsid w:val="00456383"/>
    <w:rsid w:val="0045705B"/>
    <w:rsid w:val="004572A0"/>
    <w:rsid w:val="004605CD"/>
    <w:rsid w:val="0046132A"/>
    <w:rsid w:val="0046141F"/>
    <w:rsid w:val="004631D8"/>
    <w:rsid w:val="00463915"/>
    <w:rsid w:val="00463E07"/>
    <w:rsid w:val="00463FB6"/>
    <w:rsid w:val="00464A80"/>
    <w:rsid w:val="0046585E"/>
    <w:rsid w:val="0046796C"/>
    <w:rsid w:val="00470090"/>
    <w:rsid w:val="00470CBA"/>
    <w:rsid w:val="00471605"/>
    <w:rsid w:val="00471FF8"/>
    <w:rsid w:val="0047219C"/>
    <w:rsid w:val="004727BC"/>
    <w:rsid w:val="0047300E"/>
    <w:rsid w:val="00473409"/>
    <w:rsid w:val="00474E55"/>
    <w:rsid w:val="00475776"/>
    <w:rsid w:val="00475AA0"/>
    <w:rsid w:val="00475F26"/>
    <w:rsid w:val="0047608B"/>
    <w:rsid w:val="00476503"/>
    <w:rsid w:val="00476AF5"/>
    <w:rsid w:val="004773BE"/>
    <w:rsid w:val="00477660"/>
    <w:rsid w:val="00481618"/>
    <w:rsid w:val="0048174D"/>
    <w:rsid w:val="00481C81"/>
    <w:rsid w:val="00482423"/>
    <w:rsid w:val="0048259A"/>
    <w:rsid w:val="00483669"/>
    <w:rsid w:val="0048462E"/>
    <w:rsid w:val="004852F8"/>
    <w:rsid w:val="004853A0"/>
    <w:rsid w:val="0048599A"/>
    <w:rsid w:val="004860B0"/>
    <w:rsid w:val="00486746"/>
    <w:rsid w:val="00486D9A"/>
    <w:rsid w:val="00490006"/>
    <w:rsid w:val="0049116B"/>
    <w:rsid w:val="00492F36"/>
    <w:rsid w:val="00493504"/>
    <w:rsid w:val="00493C8C"/>
    <w:rsid w:val="00493FAD"/>
    <w:rsid w:val="004949B6"/>
    <w:rsid w:val="00494DCA"/>
    <w:rsid w:val="0049505D"/>
    <w:rsid w:val="004954A8"/>
    <w:rsid w:val="004968E4"/>
    <w:rsid w:val="00496A4D"/>
    <w:rsid w:val="0049775C"/>
    <w:rsid w:val="004A02CB"/>
    <w:rsid w:val="004A1252"/>
    <w:rsid w:val="004A132E"/>
    <w:rsid w:val="004A21CC"/>
    <w:rsid w:val="004A2D04"/>
    <w:rsid w:val="004A5772"/>
    <w:rsid w:val="004A5DDA"/>
    <w:rsid w:val="004A5EBC"/>
    <w:rsid w:val="004A6E2A"/>
    <w:rsid w:val="004A760A"/>
    <w:rsid w:val="004A7673"/>
    <w:rsid w:val="004B0545"/>
    <w:rsid w:val="004B0753"/>
    <w:rsid w:val="004B0A25"/>
    <w:rsid w:val="004B15BD"/>
    <w:rsid w:val="004B180D"/>
    <w:rsid w:val="004B1BF0"/>
    <w:rsid w:val="004B27F8"/>
    <w:rsid w:val="004B29FB"/>
    <w:rsid w:val="004B3E7E"/>
    <w:rsid w:val="004B523E"/>
    <w:rsid w:val="004B540D"/>
    <w:rsid w:val="004B58F8"/>
    <w:rsid w:val="004B5B5B"/>
    <w:rsid w:val="004B5B82"/>
    <w:rsid w:val="004B6570"/>
    <w:rsid w:val="004B6AF4"/>
    <w:rsid w:val="004B6DF1"/>
    <w:rsid w:val="004B779F"/>
    <w:rsid w:val="004B7835"/>
    <w:rsid w:val="004C02B5"/>
    <w:rsid w:val="004C08C4"/>
    <w:rsid w:val="004C103B"/>
    <w:rsid w:val="004C1396"/>
    <w:rsid w:val="004C1885"/>
    <w:rsid w:val="004C4CBE"/>
    <w:rsid w:val="004C69FE"/>
    <w:rsid w:val="004D04D1"/>
    <w:rsid w:val="004D1461"/>
    <w:rsid w:val="004D23A7"/>
    <w:rsid w:val="004D3481"/>
    <w:rsid w:val="004D36E0"/>
    <w:rsid w:val="004D37ED"/>
    <w:rsid w:val="004D4C45"/>
    <w:rsid w:val="004D588C"/>
    <w:rsid w:val="004D5C5F"/>
    <w:rsid w:val="004D5CFF"/>
    <w:rsid w:val="004D612E"/>
    <w:rsid w:val="004D68AE"/>
    <w:rsid w:val="004D6B43"/>
    <w:rsid w:val="004E0299"/>
    <w:rsid w:val="004E0B51"/>
    <w:rsid w:val="004E1B77"/>
    <w:rsid w:val="004E1D2C"/>
    <w:rsid w:val="004E1E7F"/>
    <w:rsid w:val="004E1FA7"/>
    <w:rsid w:val="004E22F9"/>
    <w:rsid w:val="004E2537"/>
    <w:rsid w:val="004E2D02"/>
    <w:rsid w:val="004E2D03"/>
    <w:rsid w:val="004E307C"/>
    <w:rsid w:val="004E3446"/>
    <w:rsid w:val="004E3C3E"/>
    <w:rsid w:val="004E408B"/>
    <w:rsid w:val="004E45DC"/>
    <w:rsid w:val="004E47ED"/>
    <w:rsid w:val="004E48AA"/>
    <w:rsid w:val="004E5733"/>
    <w:rsid w:val="004E595C"/>
    <w:rsid w:val="004E5DC4"/>
    <w:rsid w:val="004E6062"/>
    <w:rsid w:val="004E6F40"/>
    <w:rsid w:val="004E75BC"/>
    <w:rsid w:val="004E7A99"/>
    <w:rsid w:val="004F0D0C"/>
    <w:rsid w:val="004F153E"/>
    <w:rsid w:val="004F1DD2"/>
    <w:rsid w:val="004F2272"/>
    <w:rsid w:val="004F2631"/>
    <w:rsid w:val="004F2683"/>
    <w:rsid w:val="004F2F84"/>
    <w:rsid w:val="004F4691"/>
    <w:rsid w:val="004F61C6"/>
    <w:rsid w:val="004F6391"/>
    <w:rsid w:val="004F69B0"/>
    <w:rsid w:val="004F6FC2"/>
    <w:rsid w:val="004F7707"/>
    <w:rsid w:val="00501A06"/>
    <w:rsid w:val="00504DBE"/>
    <w:rsid w:val="00505628"/>
    <w:rsid w:val="005058AD"/>
    <w:rsid w:val="00505E79"/>
    <w:rsid w:val="0050633D"/>
    <w:rsid w:val="00506E4B"/>
    <w:rsid w:val="005071C4"/>
    <w:rsid w:val="00507665"/>
    <w:rsid w:val="00507D0D"/>
    <w:rsid w:val="00511ED3"/>
    <w:rsid w:val="0051344A"/>
    <w:rsid w:val="005134F0"/>
    <w:rsid w:val="00513FAD"/>
    <w:rsid w:val="00514FE1"/>
    <w:rsid w:val="00515565"/>
    <w:rsid w:val="005164E3"/>
    <w:rsid w:val="00516A59"/>
    <w:rsid w:val="00516BEB"/>
    <w:rsid w:val="00516D0E"/>
    <w:rsid w:val="00517472"/>
    <w:rsid w:val="00520549"/>
    <w:rsid w:val="0052080C"/>
    <w:rsid w:val="00521320"/>
    <w:rsid w:val="00521548"/>
    <w:rsid w:val="00521553"/>
    <w:rsid w:val="0052165E"/>
    <w:rsid w:val="00521BB9"/>
    <w:rsid w:val="00521D8A"/>
    <w:rsid w:val="00522EF0"/>
    <w:rsid w:val="0052381F"/>
    <w:rsid w:val="0052390F"/>
    <w:rsid w:val="00523B33"/>
    <w:rsid w:val="00523BCE"/>
    <w:rsid w:val="005242E7"/>
    <w:rsid w:val="00524FE7"/>
    <w:rsid w:val="005251C8"/>
    <w:rsid w:val="005253FF"/>
    <w:rsid w:val="005257D9"/>
    <w:rsid w:val="00525EC1"/>
    <w:rsid w:val="00525ECC"/>
    <w:rsid w:val="005262EB"/>
    <w:rsid w:val="00527CFD"/>
    <w:rsid w:val="00533CC6"/>
    <w:rsid w:val="0053423C"/>
    <w:rsid w:val="0053423E"/>
    <w:rsid w:val="0053434C"/>
    <w:rsid w:val="00534AAB"/>
    <w:rsid w:val="00534D9A"/>
    <w:rsid w:val="00534E6F"/>
    <w:rsid w:val="0053585B"/>
    <w:rsid w:val="005359F3"/>
    <w:rsid w:val="005360D3"/>
    <w:rsid w:val="00536388"/>
    <w:rsid w:val="00536938"/>
    <w:rsid w:val="00536C3D"/>
    <w:rsid w:val="00536F4C"/>
    <w:rsid w:val="00537964"/>
    <w:rsid w:val="00537ADB"/>
    <w:rsid w:val="00540937"/>
    <w:rsid w:val="00540A63"/>
    <w:rsid w:val="00540EAA"/>
    <w:rsid w:val="00540F0B"/>
    <w:rsid w:val="00540F95"/>
    <w:rsid w:val="0054136B"/>
    <w:rsid w:val="0054195D"/>
    <w:rsid w:val="00541ED7"/>
    <w:rsid w:val="005422C5"/>
    <w:rsid w:val="005422F9"/>
    <w:rsid w:val="00542FB8"/>
    <w:rsid w:val="00543638"/>
    <w:rsid w:val="0054391A"/>
    <w:rsid w:val="00543949"/>
    <w:rsid w:val="00544551"/>
    <w:rsid w:val="0054482F"/>
    <w:rsid w:val="005448C1"/>
    <w:rsid w:val="00544E40"/>
    <w:rsid w:val="00545353"/>
    <w:rsid w:val="005469C3"/>
    <w:rsid w:val="00547388"/>
    <w:rsid w:val="00547561"/>
    <w:rsid w:val="005478C8"/>
    <w:rsid w:val="00547F97"/>
    <w:rsid w:val="005501B8"/>
    <w:rsid w:val="0055037B"/>
    <w:rsid w:val="00551083"/>
    <w:rsid w:val="00551172"/>
    <w:rsid w:val="00551BBC"/>
    <w:rsid w:val="00551D8A"/>
    <w:rsid w:val="00552222"/>
    <w:rsid w:val="00552737"/>
    <w:rsid w:val="00552947"/>
    <w:rsid w:val="00552A31"/>
    <w:rsid w:val="00553021"/>
    <w:rsid w:val="00553672"/>
    <w:rsid w:val="005552D7"/>
    <w:rsid w:val="00555E86"/>
    <w:rsid w:val="00557F33"/>
    <w:rsid w:val="00560DD8"/>
    <w:rsid w:val="00560E4A"/>
    <w:rsid w:val="00560ECD"/>
    <w:rsid w:val="005618A9"/>
    <w:rsid w:val="00561C12"/>
    <w:rsid w:val="00561C72"/>
    <w:rsid w:val="00561CA1"/>
    <w:rsid w:val="005632F9"/>
    <w:rsid w:val="0056404C"/>
    <w:rsid w:val="00564BD6"/>
    <w:rsid w:val="00565229"/>
    <w:rsid w:val="00565C39"/>
    <w:rsid w:val="00566297"/>
    <w:rsid w:val="005664A6"/>
    <w:rsid w:val="0056667A"/>
    <w:rsid w:val="00567B06"/>
    <w:rsid w:val="00567B54"/>
    <w:rsid w:val="00570517"/>
    <w:rsid w:val="00570CDB"/>
    <w:rsid w:val="00570E45"/>
    <w:rsid w:val="00571670"/>
    <w:rsid w:val="00571F8A"/>
    <w:rsid w:val="00571FCB"/>
    <w:rsid w:val="00573D5F"/>
    <w:rsid w:val="00573FF2"/>
    <w:rsid w:val="00574A3F"/>
    <w:rsid w:val="00574BB9"/>
    <w:rsid w:val="00575393"/>
    <w:rsid w:val="00575A76"/>
    <w:rsid w:val="00576B69"/>
    <w:rsid w:val="00577260"/>
    <w:rsid w:val="00577475"/>
    <w:rsid w:val="0057766B"/>
    <w:rsid w:val="005777D9"/>
    <w:rsid w:val="00577859"/>
    <w:rsid w:val="00580334"/>
    <w:rsid w:val="005807C3"/>
    <w:rsid w:val="005815E9"/>
    <w:rsid w:val="00582FCD"/>
    <w:rsid w:val="0058347D"/>
    <w:rsid w:val="005836FD"/>
    <w:rsid w:val="00584114"/>
    <w:rsid w:val="005841A5"/>
    <w:rsid w:val="005847A3"/>
    <w:rsid w:val="005849F3"/>
    <w:rsid w:val="00584AD5"/>
    <w:rsid w:val="00585066"/>
    <w:rsid w:val="00585159"/>
    <w:rsid w:val="00585709"/>
    <w:rsid w:val="0058655B"/>
    <w:rsid w:val="0058705C"/>
    <w:rsid w:val="00587474"/>
    <w:rsid w:val="005876FA"/>
    <w:rsid w:val="00587795"/>
    <w:rsid w:val="005879C0"/>
    <w:rsid w:val="005908ED"/>
    <w:rsid w:val="00590F32"/>
    <w:rsid w:val="00591129"/>
    <w:rsid w:val="005916E0"/>
    <w:rsid w:val="005917A6"/>
    <w:rsid w:val="00591EBA"/>
    <w:rsid w:val="005932B7"/>
    <w:rsid w:val="005937D9"/>
    <w:rsid w:val="0059387A"/>
    <w:rsid w:val="00593B96"/>
    <w:rsid w:val="00593F04"/>
    <w:rsid w:val="00594518"/>
    <w:rsid w:val="0059494E"/>
    <w:rsid w:val="00595456"/>
    <w:rsid w:val="00595C52"/>
    <w:rsid w:val="005A0130"/>
    <w:rsid w:val="005A0211"/>
    <w:rsid w:val="005A18A4"/>
    <w:rsid w:val="005A33F4"/>
    <w:rsid w:val="005A3B25"/>
    <w:rsid w:val="005A423E"/>
    <w:rsid w:val="005A45B1"/>
    <w:rsid w:val="005A4E61"/>
    <w:rsid w:val="005A4E83"/>
    <w:rsid w:val="005A5568"/>
    <w:rsid w:val="005A6396"/>
    <w:rsid w:val="005B06C6"/>
    <w:rsid w:val="005B0F6D"/>
    <w:rsid w:val="005B1D0B"/>
    <w:rsid w:val="005B2115"/>
    <w:rsid w:val="005B2161"/>
    <w:rsid w:val="005B2221"/>
    <w:rsid w:val="005B265C"/>
    <w:rsid w:val="005B2E16"/>
    <w:rsid w:val="005B329D"/>
    <w:rsid w:val="005B4305"/>
    <w:rsid w:val="005B4E8F"/>
    <w:rsid w:val="005B655F"/>
    <w:rsid w:val="005B7048"/>
    <w:rsid w:val="005B7843"/>
    <w:rsid w:val="005C0025"/>
    <w:rsid w:val="005C05AC"/>
    <w:rsid w:val="005C05EF"/>
    <w:rsid w:val="005C062A"/>
    <w:rsid w:val="005C0EC0"/>
    <w:rsid w:val="005C292A"/>
    <w:rsid w:val="005C29E4"/>
    <w:rsid w:val="005C44CC"/>
    <w:rsid w:val="005C590E"/>
    <w:rsid w:val="005C60EA"/>
    <w:rsid w:val="005C66D1"/>
    <w:rsid w:val="005C6DC0"/>
    <w:rsid w:val="005C6EDA"/>
    <w:rsid w:val="005C7854"/>
    <w:rsid w:val="005C789E"/>
    <w:rsid w:val="005D04F0"/>
    <w:rsid w:val="005D06D2"/>
    <w:rsid w:val="005D0B07"/>
    <w:rsid w:val="005D0FEA"/>
    <w:rsid w:val="005D199D"/>
    <w:rsid w:val="005D1E2D"/>
    <w:rsid w:val="005D2F20"/>
    <w:rsid w:val="005D3185"/>
    <w:rsid w:val="005D31E9"/>
    <w:rsid w:val="005D32D5"/>
    <w:rsid w:val="005D3776"/>
    <w:rsid w:val="005D3EF8"/>
    <w:rsid w:val="005D776A"/>
    <w:rsid w:val="005D7EED"/>
    <w:rsid w:val="005E136C"/>
    <w:rsid w:val="005E2786"/>
    <w:rsid w:val="005E2EDB"/>
    <w:rsid w:val="005E3E43"/>
    <w:rsid w:val="005E4E4A"/>
    <w:rsid w:val="005E5700"/>
    <w:rsid w:val="005E5D59"/>
    <w:rsid w:val="005F0ED3"/>
    <w:rsid w:val="005F17D8"/>
    <w:rsid w:val="005F17E6"/>
    <w:rsid w:val="005F1A10"/>
    <w:rsid w:val="005F1AE5"/>
    <w:rsid w:val="005F1D25"/>
    <w:rsid w:val="005F2185"/>
    <w:rsid w:val="005F222F"/>
    <w:rsid w:val="005F2761"/>
    <w:rsid w:val="005F2ADB"/>
    <w:rsid w:val="005F2CCD"/>
    <w:rsid w:val="005F3079"/>
    <w:rsid w:val="005F31A2"/>
    <w:rsid w:val="005F3CD1"/>
    <w:rsid w:val="005F42C1"/>
    <w:rsid w:val="005F453C"/>
    <w:rsid w:val="005F4603"/>
    <w:rsid w:val="005F4C1B"/>
    <w:rsid w:val="005F5B03"/>
    <w:rsid w:val="005F77F1"/>
    <w:rsid w:val="005F79FA"/>
    <w:rsid w:val="0060000E"/>
    <w:rsid w:val="0060009E"/>
    <w:rsid w:val="006001E8"/>
    <w:rsid w:val="0060045F"/>
    <w:rsid w:val="00600996"/>
    <w:rsid w:val="00600F49"/>
    <w:rsid w:val="00601765"/>
    <w:rsid w:val="00601D77"/>
    <w:rsid w:val="006021A2"/>
    <w:rsid w:val="00602632"/>
    <w:rsid w:val="00602903"/>
    <w:rsid w:val="00604CEC"/>
    <w:rsid w:val="00605564"/>
    <w:rsid w:val="00606A09"/>
    <w:rsid w:val="00606A55"/>
    <w:rsid w:val="00606AD7"/>
    <w:rsid w:val="0060706D"/>
    <w:rsid w:val="0061034A"/>
    <w:rsid w:val="00610483"/>
    <w:rsid w:val="00611971"/>
    <w:rsid w:val="00612468"/>
    <w:rsid w:val="00613E09"/>
    <w:rsid w:val="0061516E"/>
    <w:rsid w:val="006157D0"/>
    <w:rsid w:val="0061596C"/>
    <w:rsid w:val="00615F0E"/>
    <w:rsid w:val="00616217"/>
    <w:rsid w:val="0062060C"/>
    <w:rsid w:val="00620C8D"/>
    <w:rsid w:val="0062130D"/>
    <w:rsid w:val="00621E6F"/>
    <w:rsid w:val="006223EC"/>
    <w:rsid w:val="0062391C"/>
    <w:rsid w:val="006239A5"/>
    <w:rsid w:val="00623B92"/>
    <w:rsid w:val="00623EA0"/>
    <w:rsid w:val="0062519D"/>
    <w:rsid w:val="006254E5"/>
    <w:rsid w:val="00625DBE"/>
    <w:rsid w:val="00625E40"/>
    <w:rsid w:val="006261B4"/>
    <w:rsid w:val="0062624A"/>
    <w:rsid w:val="006269C3"/>
    <w:rsid w:val="00626FC4"/>
    <w:rsid w:val="00627CBD"/>
    <w:rsid w:val="0063007E"/>
    <w:rsid w:val="006300F5"/>
    <w:rsid w:val="006303F5"/>
    <w:rsid w:val="00631520"/>
    <w:rsid w:val="00631733"/>
    <w:rsid w:val="006325B7"/>
    <w:rsid w:val="006329B6"/>
    <w:rsid w:val="00633881"/>
    <w:rsid w:val="006343D7"/>
    <w:rsid w:val="0063443F"/>
    <w:rsid w:val="00634CA1"/>
    <w:rsid w:val="00635AD0"/>
    <w:rsid w:val="00635CEF"/>
    <w:rsid w:val="006370CD"/>
    <w:rsid w:val="0063711B"/>
    <w:rsid w:val="006376F3"/>
    <w:rsid w:val="00641023"/>
    <w:rsid w:val="00641522"/>
    <w:rsid w:val="006417AA"/>
    <w:rsid w:val="00641AA4"/>
    <w:rsid w:val="0064232B"/>
    <w:rsid w:val="0064270B"/>
    <w:rsid w:val="0064318D"/>
    <w:rsid w:val="0064335D"/>
    <w:rsid w:val="006442BD"/>
    <w:rsid w:val="0064597D"/>
    <w:rsid w:val="006460EF"/>
    <w:rsid w:val="00647EDB"/>
    <w:rsid w:val="006518B5"/>
    <w:rsid w:val="006518D1"/>
    <w:rsid w:val="006522BE"/>
    <w:rsid w:val="0065384E"/>
    <w:rsid w:val="00654B8A"/>
    <w:rsid w:val="00655278"/>
    <w:rsid w:val="0065563A"/>
    <w:rsid w:val="006560E9"/>
    <w:rsid w:val="006563EC"/>
    <w:rsid w:val="006576B8"/>
    <w:rsid w:val="0066072E"/>
    <w:rsid w:val="00660AB3"/>
    <w:rsid w:val="00660DC4"/>
    <w:rsid w:val="006618CB"/>
    <w:rsid w:val="00661967"/>
    <w:rsid w:val="00661C53"/>
    <w:rsid w:val="00662639"/>
    <w:rsid w:val="00662C68"/>
    <w:rsid w:val="00663273"/>
    <w:rsid w:val="00664334"/>
    <w:rsid w:val="00664562"/>
    <w:rsid w:val="00664604"/>
    <w:rsid w:val="00664C99"/>
    <w:rsid w:val="00665058"/>
    <w:rsid w:val="00667CF5"/>
    <w:rsid w:val="00667EA6"/>
    <w:rsid w:val="00670653"/>
    <w:rsid w:val="006711BA"/>
    <w:rsid w:val="0067253B"/>
    <w:rsid w:val="0067315A"/>
    <w:rsid w:val="00674DF0"/>
    <w:rsid w:val="00675B96"/>
    <w:rsid w:val="006765A3"/>
    <w:rsid w:val="00676B41"/>
    <w:rsid w:val="00676F8D"/>
    <w:rsid w:val="006775C3"/>
    <w:rsid w:val="006804B4"/>
    <w:rsid w:val="00680B8D"/>
    <w:rsid w:val="00682C7D"/>
    <w:rsid w:val="00683F7C"/>
    <w:rsid w:val="0068487D"/>
    <w:rsid w:val="006848BA"/>
    <w:rsid w:val="00684FD8"/>
    <w:rsid w:val="0068783E"/>
    <w:rsid w:val="00690166"/>
    <w:rsid w:val="00690F64"/>
    <w:rsid w:val="00691E41"/>
    <w:rsid w:val="006929E4"/>
    <w:rsid w:val="0069377C"/>
    <w:rsid w:val="006937A9"/>
    <w:rsid w:val="006938C4"/>
    <w:rsid w:val="00693C26"/>
    <w:rsid w:val="00694DC2"/>
    <w:rsid w:val="006955E1"/>
    <w:rsid w:val="006960F7"/>
    <w:rsid w:val="00696114"/>
    <w:rsid w:val="00696550"/>
    <w:rsid w:val="00696573"/>
    <w:rsid w:val="00696C5E"/>
    <w:rsid w:val="00697288"/>
    <w:rsid w:val="006978BF"/>
    <w:rsid w:val="00697A66"/>
    <w:rsid w:val="006A114D"/>
    <w:rsid w:val="006A3A94"/>
    <w:rsid w:val="006A3C3D"/>
    <w:rsid w:val="006A478A"/>
    <w:rsid w:val="006A5430"/>
    <w:rsid w:val="006A55DE"/>
    <w:rsid w:val="006A58A9"/>
    <w:rsid w:val="006A5DA1"/>
    <w:rsid w:val="006A5E74"/>
    <w:rsid w:val="006A60E9"/>
    <w:rsid w:val="006A6756"/>
    <w:rsid w:val="006A6A67"/>
    <w:rsid w:val="006A6BFD"/>
    <w:rsid w:val="006B0926"/>
    <w:rsid w:val="006B1E70"/>
    <w:rsid w:val="006B3FA4"/>
    <w:rsid w:val="006B4B23"/>
    <w:rsid w:val="006B4E76"/>
    <w:rsid w:val="006B5271"/>
    <w:rsid w:val="006B552A"/>
    <w:rsid w:val="006B64DD"/>
    <w:rsid w:val="006B6553"/>
    <w:rsid w:val="006B6872"/>
    <w:rsid w:val="006B7779"/>
    <w:rsid w:val="006B78D1"/>
    <w:rsid w:val="006B791D"/>
    <w:rsid w:val="006C003B"/>
    <w:rsid w:val="006C055B"/>
    <w:rsid w:val="006C12F5"/>
    <w:rsid w:val="006C1A69"/>
    <w:rsid w:val="006C23CC"/>
    <w:rsid w:val="006C3821"/>
    <w:rsid w:val="006C4741"/>
    <w:rsid w:val="006C53FB"/>
    <w:rsid w:val="006C6CB7"/>
    <w:rsid w:val="006D0298"/>
    <w:rsid w:val="006D0F28"/>
    <w:rsid w:val="006D111C"/>
    <w:rsid w:val="006D25AA"/>
    <w:rsid w:val="006D2CD1"/>
    <w:rsid w:val="006D2EE3"/>
    <w:rsid w:val="006D37BE"/>
    <w:rsid w:val="006D3D02"/>
    <w:rsid w:val="006D3D8D"/>
    <w:rsid w:val="006D45E0"/>
    <w:rsid w:val="006D49A3"/>
    <w:rsid w:val="006D7896"/>
    <w:rsid w:val="006E01B0"/>
    <w:rsid w:val="006E09F8"/>
    <w:rsid w:val="006E0D50"/>
    <w:rsid w:val="006E1207"/>
    <w:rsid w:val="006E3046"/>
    <w:rsid w:val="006E4259"/>
    <w:rsid w:val="006E47EA"/>
    <w:rsid w:val="006E4A91"/>
    <w:rsid w:val="006E4DD4"/>
    <w:rsid w:val="006E52BC"/>
    <w:rsid w:val="006E5509"/>
    <w:rsid w:val="006E56AF"/>
    <w:rsid w:val="006E67EF"/>
    <w:rsid w:val="006E735D"/>
    <w:rsid w:val="006E77CF"/>
    <w:rsid w:val="006F018C"/>
    <w:rsid w:val="006F1805"/>
    <w:rsid w:val="006F27DC"/>
    <w:rsid w:val="006F3BE6"/>
    <w:rsid w:val="006F4128"/>
    <w:rsid w:val="006F4C51"/>
    <w:rsid w:val="006F509A"/>
    <w:rsid w:val="006F5368"/>
    <w:rsid w:val="006F6332"/>
    <w:rsid w:val="006F70F0"/>
    <w:rsid w:val="006F74FE"/>
    <w:rsid w:val="0070021E"/>
    <w:rsid w:val="00701320"/>
    <w:rsid w:val="007016C7"/>
    <w:rsid w:val="00701955"/>
    <w:rsid w:val="00701E53"/>
    <w:rsid w:val="007032A9"/>
    <w:rsid w:val="007045D2"/>
    <w:rsid w:val="007065AA"/>
    <w:rsid w:val="00706CBB"/>
    <w:rsid w:val="00707947"/>
    <w:rsid w:val="0071081C"/>
    <w:rsid w:val="00711992"/>
    <w:rsid w:val="0071214D"/>
    <w:rsid w:val="00714634"/>
    <w:rsid w:val="00714A45"/>
    <w:rsid w:val="00715A1B"/>
    <w:rsid w:val="0071623B"/>
    <w:rsid w:val="00720D20"/>
    <w:rsid w:val="007221E1"/>
    <w:rsid w:val="00722312"/>
    <w:rsid w:val="007230FC"/>
    <w:rsid w:val="0072328E"/>
    <w:rsid w:val="007240B7"/>
    <w:rsid w:val="007241DD"/>
    <w:rsid w:val="00725DDF"/>
    <w:rsid w:val="00725F0D"/>
    <w:rsid w:val="007263EB"/>
    <w:rsid w:val="00727C58"/>
    <w:rsid w:val="007302BB"/>
    <w:rsid w:val="007303A5"/>
    <w:rsid w:val="0073270E"/>
    <w:rsid w:val="00732947"/>
    <w:rsid w:val="007339F4"/>
    <w:rsid w:val="00733D09"/>
    <w:rsid w:val="00733F1F"/>
    <w:rsid w:val="00734093"/>
    <w:rsid w:val="0073475A"/>
    <w:rsid w:val="00734EF2"/>
    <w:rsid w:val="00735B9F"/>
    <w:rsid w:val="00736880"/>
    <w:rsid w:val="0073754A"/>
    <w:rsid w:val="0073795D"/>
    <w:rsid w:val="00737D58"/>
    <w:rsid w:val="00737DD9"/>
    <w:rsid w:val="00740182"/>
    <w:rsid w:val="00740B75"/>
    <w:rsid w:val="007413FA"/>
    <w:rsid w:val="00741E2C"/>
    <w:rsid w:val="0074262D"/>
    <w:rsid w:val="0074373F"/>
    <w:rsid w:val="007437CC"/>
    <w:rsid w:val="00743C76"/>
    <w:rsid w:val="0074414F"/>
    <w:rsid w:val="007461F2"/>
    <w:rsid w:val="00747669"/>
    <w:rsid w:val="00747681"/>
    <w:rsid w:val="00747A6B"/>
    <w:rsid w:val="00747ACD"/>
    <w:rsid w:val="00747DF6"/>
    <w:rsid w:val="007501E4"/>
    <w:rsid w:val="0075087D"/>
    <w:rsid w:val="00751F0E"/>
    <w:rsid w:val="007524DA"/>
    <w:rsid w:val="00752C89"/>
    <w:rsid w:val="00752D58"/>
    <w:rsid w:val="00752E6C"/>
    <w:rsid w:val="007541F5"/>
    <w:rsid w:val="00754DC6"/>
    <w:rsid w:val="00754F5F"/>
    <w:rsid w:val="007552D8"/>
    <w:rsid w:val="0075574D"/>
    <w:rsid w:val="00755E8B"/>
    <w:rsid w:val="00756111"/>
    <w:rsid w:val="0075614E"/>
    <w:rsid w:val="007563A2"/>
    <w:rsid w:val="007574F4"/>
    <w:rsid w:val="00757840"/>
    <w:rsid w:val="00757D1F"/>
    <w:rsid w:val="00760374"/>
    <w:rsid w:val="0076075A"/>
    <w:rsid w:val="00761377"/>
    <w:rsid w:val="00761E0E"/>
    <w:rsid w:val="0076214E"/>
    <w:rsid w:val="00763808"/>
    <w:rsid w:val="007652F9"/>
    <w:rsid w:val="007669E0"/>
    <w:rsid w:val="0077024D"/>
    <w:rsid w:val="0077045F"/>
    <w:rsid w:val="007709CB"/>
    <w:rsid w:val="00770A6D"/>
    <w:rsid w:val="00771B7B"/>
    <w:rsid w:val="007728E6"/>
    <w:rsid w:val="007736F1"/>
    <w:rsid w:val="0077397E"/>
    <w:rsid w:val="00773A8E"/>
    <w:rsid w:val="0077458C"/>
    <w:rsid w:val="00775473"/>
    <w:rsid w:val="0077626F"/>
    <w:rsid w:val="007765D2"/>
    <w:rsid w:val="00776CE8"/>
    <w:rsid w:val="00780700"/>
    <w:rsid w:val="007810C7"/>
    <w:rsid w:val="007817FA"/>
    <w:rsid w:val="0078185F"/>
    <w:rsid w:val="0078270E"/>
    <w:rsid w:val="00783B88"/>
    <w:rsid w:val="00785610"/>
    <w:rsid w:val="00785F2B"/>
    <w:rsid w:val="00786C8F"/>
    <w:rsid w:val="007871C8"/>
    <w:rsid w:val="00787765"/>
    <w:rsid w:val="00787DA4"/>
    <w:rsid w:val="00790072"/>
    <w:rsid w:val="007903D7"/>
    <w:rsid w:val="00790FF1"/>
    <w:rsid w:val="0079116B"/>
    <w:rsid w:val="00791D7F"/>
    <w:rsid w:val="007924F9"/>
    <w:rsid w:val="007929FE"/>
    <w:rsid w:val="00792BB9"/>
    <w:rsid w:val="00793350"/>
    <w:rsid w:val="0079495C"/>
    <w:rsid w:val="00794DA7"/>
    <w:rsid w:val="00795BF0"/>
    <w:rsid w:val="00795D26"/>
    <w:rsid w:val="00797CB0"/>
    <w:rsid w:val="007A09FB"/>
    <w:rsid w:val="007A1385"/>
    <w:rsid w:val="007A1B77"/>
    <w:rsid w:val="007A20B7"/>
    <w:rsid w:val="007A2413"/>
    <w:rsid w:val="007A2D08"/>
    <w:rsid w:val="007A3B89"/>
    <w:rsid w:val="007A4B2F"/>
    <w:rsid w:val="007A5481"/>
    <w:rsid w:val="007A59CE"/>
    <w:rsid w:val="007A5F9D"/>
    <w:rsid w:val="007A61DB"/>
    <w:rsid w:val="007A6CA2"/>
    <w:rsid w:val="007B008F"/>
    <w:rsid w:val="007B0775"/>
    <w:rsid w:val="007B172F"/>
    <w:rsid w:val="007B188C"/>
    <w:rsid w:val="007B2544"/>
    <w:rsid w:val="007B2B76"/>
    <w:rsid w:val="007B2B7F"/>
    <w:rsid w:val="007B401B"/>
    <w:rsid w:val="007B5184"/>
    <w:rsid w:val="007B54B2"/>
    <w:rsid w:val="007B56B5"/>
    <w:rsid w:val="007B5E95"/>
    <w:rsid w:val="007B62B0"/>
    <w:rsid w:val="007B6799"/>
    <w:rsid w:val="007B7757"/>
    <w:rsid w:val="007B7D3E"/>
    <w:rsid w:val="007C042E"/>
    <w:rsid w:val="007C0837"/>
    <w:rsid w:val="007C0CD8"/>
    <w:rsid w:val="007C1611"/>
    <w:rsid w:val="007C1647"/>
    <w:rsid w:val="007C1E0C"/>
    <w:rsid w:val="007C2BC2"/>
    <w:rsid w:val="007C2D9D"/>
    <w:rsid w:val="007C358D"/>
    <w:rsid w:val="007C373C"/>
    <w:rsid w:val="007C44C8"/>
    <w:rsid w:val="007C4731"/>
    <w:rsid w:val="007C481A"/>
    <w:rsid w:val="007C49C5"/>
    <w:rsid w:val="007C5037"/>
    <w:rsid w:val="007C532A"/>
    <w:rsid w:val="007C5743"/>
    <w:rsid w:val="007C5A14"/>
    <w:rsid w:val="007C6014"/>
    <w:rsid w:val="007C60BE"/>
    <w:rsid w:val="007C6235"/>
    <w:rsid w:val="007C647F"/>
    <w:rsid w:val="007C64FB"/>
    <w:rsid w:val="007C6C9A"/>
    <w:rsid w:val="007C6EAF"/>
    <w:rsid w:val="007C7646"/>
    <w:rsid w:val="007D02D7"/>
    <w:rsid w:val="007D0597"/>
    <w:rsid w:val="007D14BE"/>
    <w:rsid w:val="007D2FAB"/>
    <w:rsid w:val="007D35E4"/>
    <w:rsid w:val="007D51DC"/>
    <w:rsid w:val="007D6487"/>
    <w:rsid w:val="007D7205"/>
    <w:rsid w:val="007D736D"/>
    <w:rsid w:val="007D7449"/>
    <w:rsid w:val="007D77EE"/>
    <w:rsid w:val="007E0580"/>
    <w:rsid w:val="007E0B55"/>
    <w:rsid w:val="007E1EBA"/>
    <w:rsid w:val="007E269F"/>
    <w:rsid w:val="007E2FF2"/>
    <w:rsid w:val="007E495F"/>
    <w:rsid w:val="007E61F3"/>
    <w:rsid w:val="007E6B79"/>
    <w:rsid w:val="007E6D33"/>
    <w:rsid w:val="007E7014"/>
    <w:rsid w:val="007E72FC"/>
    <w:rsid w:val="007F05FA"/>
    <w:rsid w:val="007F2587"/>
    <w:rsid w:val="007F25B5"/>
    <w:rsid w:val="007F38AA"/>
    <w:rsid w:val="007F4372"/>
    <w:rsid w:val="007F4A41"/>
    <w:rsid w:val="007F4E87"/>
    <w:rsid w:val="007F4EF9"/>
    <w:rsid w:val="007F62F3"/>
    <w:rsid w:val="007F62F6"/>
    <w:rsid w:val="007F631E"/>
    <w:rsid w:val="007F66D5"/>
    <w:rsid w:val="007F6EF2"/>
    <w:rsid w:val="00800D4A"/>
    <w:rsid w:val="00800E30"/>
    <w:rsid w:val="00800F19"/>
    <w:rsid w:val="00800F84"/>
    <w:rsid w:val="008013EA"/>
    <w:rsid w:val="00801512"/>
    <w:rsid w:val="00801AE8"/>
    <w:rsid w:val="008029FF"/>
    <w:rsid w:val="00802C76"/>
    <w:rsid w:val="0080393A"/>
    <w:rsid w:val="0080596A"/>
    <w:rsid w:val="00807CFB"/>
    <w:rsid w:val="0081005C"/>
    <w:rsid w:val="00811933"/>
    <w:rsid w:val="00811D63"/>
    <w:rsid w:val="0081211F"/>
    <w:rsid w:val="00812D3C"/>
    <w:rsid w:val="0081460C"/>
    <w:rsid w:val="00815068"/>
    <w:rsid w:val="0081525F"/>
    <w:rsid w:val="008163DA"/>
    <w:rsid w:val="00817140"/>
    <w:rsid w:val="008207C7"/>
    <w:rsid w:val="00820AF1"/>
    <w:rsid w:val="00821325"/>
    <w:rsid w:val="0082134B"/>
    <w:rsid w:val="008213FD"/>
    <w:rsid w:val="008216C7"/>
    <w:rsid w:val="0082186C"/>
    <w:rsid w:val="00822583"/>
    <w:rsid w:val="00822B77"/>
    <w:rsid w:val="00822CD3"/>
    <w:rsid w:val="00822D59"/>
    <w:rsid w:val="00822FF6"/>
    <w:rsid w:val="008231F7"/>
    <w:rsid w:val="00823A29"/>
    <w:rsid w:val="00823C13"/>
    <w:rsid w:val="00824109"/>
    <w:rsid w:val="0082436C"/>
    <w:rsid w:val="008245E4"/>
    <w:rsid w:val="008248B0"/>
    <w:rsid w:val="00825031"/>
    <w:rsid w:val="008251EC"/>
    <w:rsid w:val="00825707"/>
    <w:rsid w:val="0082588B"/>
    <w:rsid w:val="00825C2A"/>
    <w:rsid w:val="00826957"/>
    <w:rsid w:val="00826B11"/>
    <w:rsid w:val="00826E2B"/>
    <w:rsid w:val="008301A5"/>
    <w:rsid w:val="00830755"/>
    <w:rsid w:val="00831BA6"/>
    <w:rsid w:val="00831FE0"/>
    <w:rsid w:val="00832676"/>
    <w:rsid w:val="008329BE"/>
    <w:rsid w:val="008347CE"/>
    <w:rsid w:val="00836B41"/>
    <w:rsid w:val="00837B53"/>
    <w:rsid w:val="0084076C"/>
    <w:rsid w:val="00840F74"/>
    <w:rsid w:val="00841CD7"/>
    <w:rsid w:val="008422EA"/>
    <w:rsid w:val="00842BCC"/>
    <w:rsid w:val="00843730"/>
    <w:rsid w:val="008437D9"/>
    <w:rsid w:val="00843F5E"/>
    <w:rsid w:val="00844260"/>
    <w:rsid w:val="008448F5"/>
    <w:rsid w:val="0084516B"/>
    <w:rsid w:val="00846B40"/>
    <w:rsid w:val="0084720D"/>
    <w:rsid w:val="00847DF8"/>
    <w:rsid w:val="00851AE8"/>
    <w:rsid w:val="00851C27"/>
    <w:rsid w:val="00852AAB"/>
    <w:rsid w:val="00852B30"/>
    <w:rsid w:val="00853BC7"/>
    <w:rsid w:val="0085464B"/>
    <w:rsid w:val="0085475B"/>
    <w:rsid w:val="00854794"/>
    <w:rsid w:val="008549BD"/>
    <w:rsid w:val="00855271"/>
    <w:rsid w:val="00855CFE"/>
    <w:rsid w:val="008560E0"/>
    <w:rsid w:val="00856C28"/>
    <w:rsid w:val="00857CC0"/>
    <w:rsid w:val="00860D4F"/>
    <w:rsid w:val="008617FA"/>
    <w:rsid w:val="00861F8C"/>
    <w:rsid w:val="008635FE"/>
    <w:rsid w:val="00863714"/>
    <w:rsid w:val="00863B8A"/>
    <w:rsid w:val="0086444F"/>
    <w:rsid w:val="00865BFB"/>
    <w:rsid w:val="008672D9"/>
    <w:rsid w:val="00867F63"/>
    <w:rsid w:val="00870371"/>
    <w:rsid w:val="00870FA5"/>
    <w:rsid w:val="00871D01"/>
    <w:rsid w:val="00872832"/>
    <w:rsid w:val="00872CFB"/>
    <w:rsid w:val="00872D40"/>
    <w:rsid w:val="008739D8"/>
    <w:rsid w:val="00873B04"/>
    <w:rsid w:val="00873F62"/>
    <w:rsid w:val="008740EF"/>
    <w:rsid w:val="00875F1E"/>
    <w:rsid w:val="00877095"/>
    <w:rsid w:val="00880579"/>
    <w:rsid w:val="008809CF"/>
    <w:rsid w:val="00880CA0"/>
    <w:rsid w:val="008814F7"/>
    <w:rsid w:val="0088179D"/>
    <w:rsid w:val="008827C8"/>
    <w:rsid w:val="008828A6"/>
    <w:rsid w:val="00882C6E"/>
    <w:rsid w:val="008834DA"/>
    <w:rsid w:val="008835CC"/>
    <w:rsid w:val="008837BB"/>
    <w:rsid w:val="00885E42"/>
    <w:rsid w:val="008871FC"/>
    <w:rsid w:val="00887CAE"/>
    <w:rsid w:val="008905EC"/>
    <w:rsid w:val="00890785"/>
    <w:rsid w:val="00890840"/>
    <w:rsid w:val="008914C4"/>
    <w:rsid w:val="008933CE"/>
    <w:rsid w:val="00893B51"/>
    <w:rsid w:val="00893F1A"/>
    <w:rsid w:val="00893F5F"/>
    <w:rsid w:val="00893FB1"/>
    <w:rsid w:val="0089416C"/>
    <w:rsid w:val="00894CE0"/>
    <w:rsid w:val="0089577F"/>
    <w:rsid w:val="008958AC"/>
    <w:rsid w:val="00895C02"/>
    <w:rsid w:val="00896BAE"/>
    <w:rsid w:val="00896CED"/>
    <w:rsid w:val="00897B7F"/>
    <w:rsid w:val="00897C29"/>
    <w:rsid w:val="008A0D44"/>
    <w:rsid w:val="008A14F8"/>
    <w:rsid w:val="008A353A"/>
    <w:rsid w:val="008A3DDE"/>
    <w:rsid w:val="008A3FFD"/>
    <w:rsid w:val="008A4592"/>
    <w:rsid w:val="008B1690"/>
    <w:rsid w:val="008B1BF8"/>
    <w:rsid w:val="008B205C"/>
    <w:rsid w:val="008B2536"/>
    <w:rsid w:val="008B26E8"/>
    <w:rsid w:val="008B290E"/>
    <w:rsid w:val="008B29AF"/>
    <w:rsid w:val="008B2DAE"/>
    <w:rsid w:val="008B2E34"/>
    <w:rsid w:val="008B42E5"/>
    <w:rsid w:val="008B43C4"/>
    <w:rsid w:val="008B459B"/>
    <w:rsid w:val="008B4C56"/>
    <w:rsid w:val="008B6207"/>
    <w:rsid w:val="008B795C"/>
    <w:rsid w:val="008C0DB0"/>
    <w:rsid w:val="008C11DC"/>
    <w:rsid w:val="008C149B"/>
    <w:rsid w:val="008C1623"/>
    <w:rsid w:val="008C2091"/>
    <w:rsid w:val="008C260A"/>
    <w:rsid w:val="008C313C"/>
    <w:rsid w:val="008C3918"/>
    <w:rsid w:val="008C4E94"/>
    <w:rsid w:val="008C4EC3"/>
    <w:rsid w:val="008C5F4A"/>
    <w:rsid w:val="008C62BB"/>
    <w:rsid w:val="008C6E1C"/>
    <w:rsid w:val="008C738F"/>
    <w:rsid w:val="008C7E48"/>
    <w:rsid w:val="008D2231"/>
    <w:rsid w:val="008D288B"/>
    <w:rsid w:val="008D466D"/>
    <w:rsid w:val="008D4835"/>
    <w:rsid w:val="008D6BD0"/>
    <w:rsid w:val="008D6CA0"/>
    <w:rsid w:val="008D795B"/>
    <w:rsid w:val="008D7C6C"/>
    <w:rsid w:val="008E01B5"/>
    <w:rsid w:val="008E06F0"/>
    <w:rsid w:val="008E070D"/>
    <w:rsid w:val="008E0AC3"/>
    <w:rsid w:val="008E14D4"/>
    <w:rsid w:val="008E17C4"/>
    <w:rsid w:val="008E1A69"/>
    <w:rsid w:val="008E2DC3"/>
    <w:rsid w:val="008E3DCA"/>
    <w:rsid w:val="008E4B10"/>
    <w:rsid w:val="008E5658"/>
    <w:rsid w:val="008E567E"/>
    <w:rsid w:val="008E5A69"/>
    <w:rsid w:val="008E5F2B"/>
    <w:rsid w:val="008E632A"/>
    <w:rsid w:val="008E68C4"/>
    <w:rsid w:val="008E7AAB"/>
    <w:rsid w:val="008E7BC2"/>
    <w:rsid w:val="008E7CB8"/>
    <w:rsid w:val="008F0B3C"/>
    <w:rsid w:val="008F0E21"/>
    <w:rsid w:val="008F10EE"/>
    <w:rsid w:val="008F13D5"/>
    <w:rsid w:val="008F143C"/>
    <w:rsid w:val="008F2011"/>
    <w:rsid w:val="008F2A33"/>
    <w:rsid w:val="008F2E42"/>
    <w:rsid w:val="008F3CB9"/>
    <w:rsid w:val="008F460F"/>
    <w:rsid w:val="008F4A6E"/>
    <w:rsid w:val="008F4B91"/>
    <w:rsid w:val="008F59BA"/>
    <w:rsid w:val="008F61A7"/>
    <w:rsid w:val="008F6B5D"/>
    <w:rsid w:val="008F7A7F"/>
    <w:rsid w:val="00900309"/>
    <w:rsid w:val="009004A4"/>
    <w:rsid w:val="009010D7"/>
    <w:rsid w:val="009023AB"/>
    <w:rsid w:val="0090295B"/>
    <w:rsid w:val="0090336A"/>
    <w:rsid w:val="009033D1"/>
    <w:rsid w:val="0090384C"/>
    <w:rsid w:val="00904407"/>
    <w:rsid w:val="00904A63"/>
    <w:rsid w:val="00904B1C"/>
    <w:rsid w:val="00904E11"/>
    <w:rsid w:val="00904F0B"/>
    <w:rsid w:val="00906120"/>
    <w:rsid w:val="00906599"/>
    <w:rsid w:val="00906B4B"/>
    <w:rsid w:val="00906E5D"/>
    <w:rsid w:val="00907157"/>
    <w:rsid w:val="0091036B"/>
    <w:rsid w:val="00910D9F"/>
    <w:rsid w:val="00911AD5"/>
    <w:rsid w:val="00912358"/>
    <w:rsid w:val="0091279E"/>
    <w:rsid w:val="00912C1F"/>
    <w:rsid w:val="00912E32"/>
    <w:rsid w:val="009136FD"/>
    <w:rsid w:val="00914824"/>
    <w:rsid w:val="00917D93"/>
    <w:rsid w:val="00920756"/>
    <w:rsid w:val="009216C3"/>
    <w:rsid w:val="00921B3C"/>
    <w:rsid w:val="00922459"/>
    <w:rsid w:val="00922471"/>
    <w:rsid w:val="0092353F"/>
    <w:rsid w:val="00923BFC"/>
    <w:rsid w:val="009245C3"/>
    <w:rsid w:val="00925DEB"/>
    <w:rsid w:val="009262DF"/>
    <w:rsid w:val="00926C08"/>
    <w:rsid w:val="00926D90"/>
    <w:rsid w:val="009312BA"/>
    <w:rsid w:val="00932D6B"/>
    <w:rsid w:val="00934546"/>
    <w:rsid w:val="00934A03"/>
    <w:rsid w:val="00934ABE"/>
    <w:rsid w:val="00937E9A"/>
    <w:rsid w:val="00940322"/>
    <w:rsid w:val="00940347"/>
    <w:rsid w:val="00940861"/>
    <w:rsid w:val="00941085"/>
    <w:rsid w:val="009412EF"/>
    <w:rsid w:val="00941BED"/>
    <w:rsid w:val="00942E77"/>
    <w:rsid w:val="0094395D"/>
    <w:rsid w:val="009441FE"/>
    <w:rsid w:val="0094435F"/>
    <w:rsid w:val="00944F90"/>
    <w:rsid w:val="00945091"/>
    <w:rsid w:val="00945476"/>
    <w:rsid w:val="00945DD2"/>
    <w:rsid w:val="00946135"/>
    <w:rsid w:val="00946403"/>
    <w:rsid w:val="00946F4B"/>
    <w:rsid w:val="0094710F"/>
    <w:rsid w:val="00947A41"/>
    <w:rsid w:val="00947B6E"/>
    <w:rsid w:val="00947C9B"/>
    <w:rsid w:val="00947EC0"/>
    <w:rsid w:val="00950034"/>
    <w:rsid w:val="0095053C"/>
    <w:rsid w:val="009505C7"/>
    <w:rsid w:val="00950B90"/>
    <w:rsid w:val="00951A3E"/>
    <w:rsid w:val="00951B8C"/>
    <w:rsid w:val="0095235C"/>
    <w:rsid w:val="0095270C"/>
    <w:rsid w:val="00953954"/>
    <w:rsid w:val="009540B8"/>
    <w:rsid w:val="009564A7"/>
    <w:rsid w:val="00956DBF"/>
    <w:rsid w:val="009608D7"/>
    <w:rsid w:val="00960E09"/>
    <w:rsid w:val="00961824"/>
    <w:rsid w:val="00962D42"/>
    <w:rsid w:val="00962D7C"/>
    <w:rsid w:val="00963288"/>
    <w:rsid w:val="00963511"/>
    <w:rsid w:val="0096407D"/>
    <w:rsid w:val="00964333"/>
    <w:rsid w:val="00964342"/>
    <w:rsid w:val="00964A5A"/>
    <w:rsid w:val="009654F2"/>
    <w:rsid w:val="00965D9E"/>
    <w:rsid w:val="00966099"/>
    <w:rsid w:val="009665FC"/>
    <w:rsid w:val="009668E0"/>
    <w:rsid w:val="009671A5"/>
    <w:rsid w:val="009671E7"/>
    <w:rsid w:val="009676B3"/>
    <w:rsid w:val="00970AE0"/>
    <w:rsid w:val="00970C73"/>
    <w:rsid w:val="00972BFD"/>
    <w:rsid w:val="00972EF7"/>
    <w:rsid w:val="00973034"/>
    <w:rsid w:val="00973144"/>
    <w:rsid w:val="0097397E"/>
    <w:rsid w:val="00973D21"/>
    <w:rsid w:val="0097440E"/>
    <w:rsid w:val="00974648"/>
    <w:rsid w:val="00974BFF"/>
    <w:rsid w:val="00976B69"/>
    <w:rsid w:val="00980037"/>
    <w:rsid w:val="00980EFA"/>
    <w:rsid w:val="0098109F"/>
    <w:rsid w:val="00981D96"/>
    <w:rsid w:val="00982A9F"/>
    <w:rsid w:val="009831D0"/>
    <w:rsid w:val="009831E7"/>
    <w:rsid w:val="0098328C"/>
    <w:rsid w:val="00983BF5"/>
    <w:rsid w:val="00984CD1"/>
    <w:rsid w:val="00985B1C"/>
    <w:rsid w:val="00985BA8"/>
    <w:rsid w:val="009863E0"/>
    <w:rsid w:val="00986A0D"/>
    <w:rsid w:val="00986DE6"/>
    <w:rsid w:val="0098712E"/>
    <w:rsid w:val="00987295"/>
    <w:rsid w:val="00987824"/>
    <w:rsid w:val="00987835"/>
    <w:rsid w:val="00990A66"/>
    <w:rsid w:val="00990B6C"/>
    <w:rsid w:val="0099132A"/>
    <w:rsid w:val="00991529"/>
    <w:rsid w:val="009917D8"/>
    <w:rsid w:val="00991DA9"/>
    <w:rsid w:val="00991E89"/>
    <w:rsid w:val="00991F4E"/>
    <w:rsid w:val="00992494"/>
    <w:rsid w:val="00992A26"/>
    <w:rsid w:val="00992BA5"/>
    <w:rsid w:val="00993024"/>
    <w:rsid w:val="00993F4D"/>
    <w:rsid w:val="00994304"/>
    <w:rsid w:val="00994B2A"/>
    <w:rsid w:val="009953F4"/>
    <w:rsid w:val="00995470"/>
    <w:rsid w:val="0099568E"/>
    <w:rsid w:val="00997A28"/>
    <w:rsid w:val="00997E0A"/>
    <w:rsid w:val="009A198C"/>
    <w:rsid w:val="009A1D99"/>
    <w:rsid w:val="009A2C3D"/>
    <w:rsid w:val="009A384E"/>
    <w:rsid w:val="009A429D"/>
    <w:rsid w:val="009A43F0"/>
    <w:rsid w:val="009A4F71"/>
    <w:rsid w:val="009A5920"/>
    <w:rsid w:val="009A615A"/>
    <w:rsid w:val="009A76AA"/>
    <w:rsid w:val="009B05BB"/>
    <w:rsid w:val="009B1571"/>
    <w:rsid w:val="009B2456"/>
    <w:rsid w:val="009B279B"/>
    <w:rsid w:val="009B42C8"/>
    <w:rsid w:val="009B4710"/>
    <w:rsid w:val="009B4CDE"/>
    <w:rsid w:val="009B6395"/>
    <w:rsid w:val="009B6D2C"/>
    <w:rsid w:val="009B7F17"/>
    <w:rsid w:val="009C08E2"/>
    <w:rsid w:val="009C09D0"/>
    <w:rsid w:val="009C0C5F"/>
    <w:rsid w:val="009C322C"/>
    <w:rsid w:val="009C3823"/>
    <w:rsid w:val="009C3BDF"/>
    <w:rsid w:val="009C412E"/>
    <w:rsid w:val="009C4D2A"/>
    <w:rsid w:val="009C503A"/>
    <w:rsid w:val="009C50E1"/>
    <w:rsid w:val="009C5F0F"/>
    <w:rsid w:val="009C63DF"/>
    <w:rsid w:val="009C6B07"/>
    <w:rsid w:val="009C6E29"/>
    <w:rsid w:val="009C789E"/>
    <w:rsid w:val="009C7C21"/>
    <w:rsid w:val="009D06FC"/>
    <w:rsid w:val="009D0FC3"/>
    <w:rsid w:val="009D0FC5"/>
    <w:rsid w:val="009D164B"/>
    <w:rsid w:val="009D1678"/>
    <w:rsid w:val="009D174B"/>
    <w:rsid w:val="009D1954"/>
    <w:rsid w:val="009D1E26"/>
    <w:rsid w:val="009D21C4"/>
    <w:rsid w:val="009D3541"/>
    <w:rsid w:val="009D56A7"/>
    <w:rsid w:val="009D613D"/>
    <w:rsid w:val="009D6C25"/>
    <w:rsid w:val="009E284D"/>
    <w:rsid w:val="009E2ABB"/>
    <w:rsid w:val="009E36AF"/>
    <w:rsid w:val="009E4579"/>
    <w:rsid w:val="009E462F"/>
    <w:rsid w:val="009E4909"/>
    <w:rsid w:val="009E4DB7"/>
    <w:rsid w:val="009E6FCB"/>
    <w:rsid w:val="009F0007"/>
    <w:rsid w:val="009F0375"/>
    <w:rsid w:val="009F0A9D"/>
    <w:rsid w:val="009F2ADA"/>
    <w:rsid w:val="009F3269"/>
    <w:rsid w:val="009F3306"/>
    <w:rsid w:val="009F3CD3"/>
    <w:rsid w:val="009F4114"/>
    <w:rsid w:val="009F4E99"/>
    <w:rsid w:val="009F6ACF"/>
    <w:rsid w:val="009F7641"/>
    <w:rsid w:val="00A0026D"/>
    <w:rsid w:val="00A006CF"/>
    <w:rsid w:val="00A008D5"/>
    <w:rsid w:val="00A01DFB"/>
    <w:rsid w:val="00A02420"/>
    <w:rsid w:val="00A02D14"/>
    <w:rsid w:val="00A02ED6"/>
    <w:rsid w:val="00A03C8C"/>
    <w:rsid w:val="00A04249"/>
    <w:rsid w:val="00A045E6"/>
    <w:rsid w:val="00A04774"/>
    <w:rsid w:val="00A047DB"/>
    <w:rsid w:val="00A048BD"/>
    <w:rsid w:val="00A05D92"/>
    <w:rsid w:val="00A061AA"/>
    <w:rsid w:val="00A0765A"/>
    <w:rsid w:val="00A07970"/>
    <w:rsid w:val="00A07C2B"/>
    <w:rsid w:val="00A07FBC"/>
    <w:rsid w:val="00A106C7"/>
    <w:rsid w:val="00A10EB9"/>
    <w:rsid w:val="00A113DB"/>
    <w:rsid w:val="00A13122"/>
    <w:rsid w:val="00A14263"/>
    <w:rsid w:val="00A15968"/>
    <w:rsid w:val="00A15F6A"/>
    <w:rsid w:val="00A1600B"/>
    <w:rsid w:val="00A16558"/>
    <w:rsid w:val="00A17D9C"/>
    <w:rsid w:val="00A17E5D"/>
    <w:rsid w:val="00A2197A"/>
    <w:rsid w:val="00A21C60"/>
    <w:rsid w:val="00A22E4E"/>
    <w:rsid w:val="00A24346"/>
    <w:rsid w:val="00A244C1"/>
    <w:rsid w:val="00A24DCB"/>
    <w:rsid w:val="00A255C5"/>
    <w:rsid w:val="00A27DD2"/>
    <w:rsid w:val="00A27FA3"/>
    <w:rsid w:val="00A3002A"/>
    <w:rsid w:val="00A300B4"/>
    <w:rsid w:val="00A30108"/>
    <w:rsid w:val="00A306DC"/>
    <w:rsid w:val="00A309B6"/>
    <w:rsid w:val="00A316D6"/>
    <w:rsid w:val="00A3175A"/>
    <w:rsid w:val="00A31DA4"/>
    <w:rsid w:val="00A32A52"/>
    <w:rsid w:val="00A32C57"/>
    <w:rsid w:val="00A35171"/>
    <w:rsid w:val="00A35407"/>
    <w:rsid w:val="00A35980"/>
    <w:rsid w:val="00A36802"/>
    <w:rsid w:val="00A370A7"/>
    <w:rsid w:val="00A3714A"/>
    <w:rsid w:val="00A40C7C"/>
    <w:rsid w:val="00A41CBA"/>
    <w:rsid w:val="00A41E0A"/>
    <w:rsid w:val="00A42AB9"/>
    <w:rsid w:val="00A4370B"/>
    <w:rsid w:val="00A43779"/>
    <w:rsid w:val="00A4399B"/>
    <w:rsid w:val="00A44DB5"/>
    <w:rsid w:val="00A45CCB"/>
    <w:rsid w:val="00A45FF2"/>
    <w:rsid w:val="00A46F7B"/>
    <w:rsid w:val="00A47646"/>
    <w:rsid w:val="00A477D3"/>
    <w:rsid w:val="00A51FFA"/>
    <w:rsid w:val="00A5260B"/>
    <w:rsid w:val="00A55C0B"/>
    <w:rsid w:val="00A56CDE"/>
    <w:rsid w:val="00A574DB"/>
    <w:rsid w:val="00A57EAA"/>
    <w:rsid w:val="00A606A7"/>
    <w:rsid w:val="00A60FB7"/>
    <w:rsid w:val="00A612B4"/>
    <w:rsid w:val="00A613DE"/>
    <w:rsid w:val="00A61754"/>
    <w:rsid w:val="00A62A6D"/>
    <w:rsid w:val="00A62FFF"/>
    <w:rsid w:val="00A63128"/>
    <w:rsid w:val="00A63A94"/>
    <w:rsid w:val="00A65CB9"/>
    <w:rsid w:val="00A65D5B"/>
    <w:rsid w:val="00A65F12"/>
    <w:rsid w:val="00A660BA"/>
    <w:rsid w:val="00A669C3"/>
    <w:rsid w:val="00A673CD"/>
    <w:rsid w:val="00A67ACE"/>
    <w:rsid w:val="00A67CC0"/>
    <w:rsid w:val="00A67FFD"/>
    <w:rsid w:val="00A702E1"/>
    <w:rsid w:val="00A70D25"/>
    <w:rsid w:val="00A722A4"/>
    <w:rsid w:val="00A7278D"/>
    <w:rsid w:val="00A72BCB"/>
    <w:rsid w:val="00A73876"/>
    <w:rsid w:val="00A73F21"/>
    <w:rsid w:val="00A746B6"/>
    <w:rsid w:val="00A74E13"/>
    <w:rsid w:val="00A75F92"/>
    <w:rsid w:val="00A76C2A"/>
    <w:rsid w:val="00A77681"/>
    <w:rsid w:val="00A814FB"/>
    <w:rsid w:val="00A817A1"/>
    <w:rsid w:val="00A81D3B"/>
    <w:rsid w:val="00A827C7"/>
    <w:rsid w:val="00A829F9"/>
    <w:rsid w:val="00A82BDF"/>
    <w:rsid w:val="00A83054"/>
    <w:rsid w:val="00A83362"/>
    <w:rsid w:val="00A83937"/>
    <w:rsid w:val="00A83C7F"/>
    <w:rsid w:val="00A8407C"/>
    <w:rsid w:val="00A84B27"/>
    <w:rsid w:val="00A84DB0"/>
    <w:rsid w:val="00A84E88"/>
    <w:rsid w:val="00A84EA0"/>
    <w:rsid w:val="00A86EBE"/>
    <w:rsid w:val="00A8765A"/>
    <w:rsid w:val="00A8778F"/>
    <w:rsid w:val="00A90160"/>
    <w:rsid w:val="00A90978"/>
    <w:rsid w:val="00A90B0A"/>
    <w:rsid w:val="00A915B1"/>
    <w:rsid w:val="00A92DDF"/>
    <w:rsid w:val="00A9364D"/>
    <w:rsid w:val="00A93792"/>
    <w:rsid w:val="00A94279"/>
    <w:rsid w:val="00A943C9"/>
    <w:rsid w:val="00A94BF8"/>
    <w:rsid w:val="00A94C52"/>
    <w:rsid w:val="00A95204"/>
    <w:rsid w:val="00A9537E"/>
    <w:rsid w:val="00A95B45"/>
    <w:rsid w:val="00A96CDF"/>
    <w:rsid w:val="00A979DE"/>
    <w:rsid w:val="00A97B14"/>
    <w:rsid w:val="00A97D8C"/>
    <w:rsid w:val="00AA0AD4"/>
    <w:rsid w:val="00AA139B"/>
    <w:rsid w:val="00AA15EE"/>
    <w:rsid w:val="00AA1D5D"/>
    <w:rsid w:val="00AA1E00"/>
    <w:rsid w:val="00AA2BA5"/>
    <w:rsid w:val="00AA2BD8"/>
    <w:rsid w:val="00AA45C6"/>
    <w:rsid w:val="00AA464C"/>
    <w:rsid w:val="00AA597A"/>
    <w:rsid w:val="00AA608F"/>
    <w:rsid w:val="00AA634E"/>
    <w:rsid w:val="00AA753A"/>
    <w:rsid w:val="00AA7999"/>
    <w:rsid w:val="00AB076B"/>
    <w:rsid w:val="00AB1449"/>
    <w:rsid w:val="00AB181C"/>
    <w:rsid w:val="00AB1A0C"/>
    <w:rsid w:val="00AB2FA6"/>
    <w:rsid w:val="00AB5B8F"/>
    <w:rsid w:val="00AB5FB1"/>
    <w:rsid w:val="00AB6970"/>
    <w:rsid w:val="00AB6E6B"/>
    <w:rsid w:val="00AC0407"/>
    <w:rsid w:val="00AC0539"/>
    <w:rsid w:val="00AC2109"/>
    <w:rsid w:val="00AC378C"/>
    <w:rsid w:val="00AC38C4"/>
    <w:rsid w:val="00AC3C28"/>
    <w:rsid w:val="00AC3EE7"/>
    <w:rsid w:val="00AC4044"/>
    <w:rsid w:val="00AC52B3"/>
    <w:rsid w:val="00AC5972"/>
    <w:rsid w:val="00AC697B"/>
    <w:rsid w:val="00AC6C01"/>
    <w:rsid w:val="00AC6C5E"/>
    <w:rsid w:val="00AC6FF9"/>
    <w:rsid w:val="00AC75F0"/>
    <w:rsid w:val="00AC77B3"/>
    <w:rsid w:val="00AD0987"/>
    <w:rsid w:val="00AD0ADD"/>
    <w:rsid w:val="00AD1533"/>
    <w:rsid w:val="00AD45C3"/>
    <w:rsid w:val="00AD471B"/>
    <w:rsid w:val="00AD4CF5"/>
    <w:rsid w:val="00AD53C8"/>
    <w:rsid w:val="00AD649B"/>
    <w:rsid w:val="00AD70AD"/>
    <w:rsid w:val="00AE0673"/>
    <w:rsid w:val="00AE1B73"/>
    <w:rsid w:val="00AE260D"/>
    <w:rsid w:val="00AE2627"/>
    <w:rsid w:val="00AE2F37"/>
    <w:rsid w:val="00AE2FA9"/>
    <w:rsid w:val="00AE3591"/>
    <w:rsid w:val="00AE4E4E"/>
    <w:rsid w:val="00AE5219"/>
    <w:rsid w:val="00AE540C"/>
    <w:rsid w:val="00AE586B"/>
    <w:rsid w:val="00AE673B"/>
    <w:rsid w:val="00AE73D9"/>
    <w:rsid w:val="00AE76C6"/>
    <w:rsid w:val="00AE7D58"/>
    <w:rsid w:val="00AF083F"/>
    <w:rsid w:val="00AF2E99"/>
    <w:rsid w:val="00AF3663"/>
    <w:rsid w:val="00AF3EC4"/>
    <w:rsid w:val="00AF4788"/>
    <w:rsid w:val="00AF4C0D"/>
    <w:rsid w:val="00AF5687"/>
    <w:rsid w:val="00AF5E56"/>
    <w:rsid w:val="00AF67A0"/>
    <w:rsid w:val="00AF6E40"/>
    <w:rsid w:val="00AF6F3D"/>
    <w:rsid w:val="00B002D2"/>
    <w:rsid w:val="00B0062B"/>
    <w:rsid w:val="00B00D66"/>
    <w:rsid w:val="00B012E0"/>
    <w:rsid w:val="00B01994"/>
    <w:rsid w:val="00B01D36"/>
    <w:rsid w:val="00B03C33"/>
    <w:rsid w:val="00B043F2"/>
    <w:rsid w:val="00B04B5B"/>
    <w:rsid w:val="00B07089"/>
    <w:rsid w:val="00B076EF"/>
    <w:rsid w:val="00B079FF"/>
    <w:rsid w:val="00B07BBB"/>
    <w:rsid w:val="00B07CB8"/>
    <w:rsid w:val="00B104C0"/>
    <w:rsid w:val="00B121E7"/>
    <w:rsid w:val="00B12497"/>
    <w:rsid w:val="00B12C6A"/>
    <w:rsid w:val="00B13E3C"/>
    <w:rsid w:val="00B14FE7"/>
    <w:rsid w:val="00B15398"/>
    <w:rsid w:val="00B16C43"/>
    <w:rsid w:val="00B20585"/>
    <w:rsid w:val="00B21596"/>
    <w:rsid w:val="00B21927"/>
    <w:rsid w:val="00B21B47"/>
    <w:rsid w:val="00B2204D"/>
    <w:rsid w:val="00B224CD"/>
    <w:rsid w:val="00B22D07"/>
    <w:rsid w:val="00B22F27"/>
    <w:rsid w:val="00B2359A"/>
    <w:rsid w:val="00B23F88"/>
    <w:rsid w:val="00B246D4"/>
    <w:rsid w:val="00B25390"/>
    <w:rsid w:val="00B272A7"/>
    <w:rsid w:val="00B27781"/>
    <w:rsid w:val="00B3033B"/>
    <w:rsid w:val="00B3069E"/>
    <w:rsid w:val="00B31DA8"/>
    <w:rsid w:val="00B32307"/>
    <w:rsid w:val="00B32A6B"/>
    <w:rsid w:val="00B32DFF"/>
    <w:rsid w:val="00B34FA0"/>
    <w:rsid w:val="00B36841"/>
    <w:rsid w:val="00B376B0"/>
    <w:rsid w:val="00B37A00"/>
    <w:rsid w:val="00B40409"/>
    <w:rsid w:val="00B4046A"/>
    <w:rsid w:val="00B40900"/>
    <w:rsid w:val="00B40E19"/>
    <w:rsid w:val="00B41B2F"/>
    <w:rsid w:val="00B42F40"/>
    <w:rsid w:val="00B432AE"/>
    <w:rsid w:val="00B4349F"/>
    <w:rsid w:val="00B437B9"/>
    <w:rsid w:val="00B43FC4"/>
    <w:rsid w:val="00B43FF5"/>
    <w:rsid w:val="00B44726"/>
    <w:rsid w:val="00B44987"/>
    <w:rsid w:val="00B44B71"/>
    <w:rsid w:val="00B44E32"/>
    <w:rsid w:val="00B47880"/>
    <w:rsid w:val="00B478F8"/>
    <w:rsid w:val="00B50C7A"/>
    <w:rsid w:val="00B51627"/>
    <w:rsid w:val="00B51C8A"/>
    <w:rsid w:val="00B520AF"/>
    <w:rsid w:val="00B53047"/>
    <w:rsid w:val="00B53CF0"/>
    <w:rsid w:val="00B5403D"/>
    <w:rsid w:val="00B54473"/>
    <w:rsid w:val="00B54CD1"/>
    <w:rsid w:val="00B55323"/>
    <w:rsid w:val="00B55512"/>
    <w:rsid w:val="00B55667"/>
    <w:rsid w:val="00B55928"/>
    <w:rsid w:val="00B56E31"/>
    <w:rsid w:val="00B56E3A"/>
    <w:rsid w:val="00B57143"/>
    <w:rsid w:val="00B6036F"/>
    <w:rsid w:val="00B60564"/>
    <w:rsid w:val="00B61333"/>
    <w:rsid w:val="00B621F2"/>
    <w:rsid w:val="00B62E1A"/>
    <w:rsid w:val="00B6301C"/>
    <w:rsid w:val="00B63E55"/>
    <w:rsid w:val="00B63F94"/>
    <w:rsid w:val="00B66328"/>
    <w:rsid w:val="00B664F0"/>
    <w:rsid w:val="00B669BE"/>
    <w:rsid w:val="00B70078"/>
    <w:rsid w:val="00B70517"/>
    <w:rsid w:val="00B70B92"/>
    <w:rsid w:val="00B710C9"/>
    <w:rsid w:val="00B71111"/>
    <w:rsid w:val="00B726AC"/>
    <w:rsid w:val="00B72D16"/>
    <w:rsid w:val="00B72D85"/>
    <w:rsid w:val="00B7313C"/>
    <w:rsid w:val="00B733B3"/>
    <w:rsid w:val="00B74A19"/>
    <w:rsid w:val="00B74E31"/>
    <w:rsid w:val="00B75E14"/>
    <w:rsid w:val="00B76260"/>
    <w:rsid w:val="00B824A9"/>
    <w:rsid w:val="00B82FF1"/>
    <w:rsid w:val="00B83545"/>
    <w:rsid w:val="00B839D5"/>
    <w:rsid w:val="00B83E89"/>
    <w:rsid w:val="00B84354"/>
    <w:rsid w:val="00B850C5"/>
    <w:rsid w:val="00B8511A"/>
    <w:rsid w:val="00B85AA4"/>
    <w:rsid w:val="00B85FF9"/>
    <w:rsid w:val="00B869F2"/>
    <w:rsid w:val="00B86FDC"/>
    <w:rsid w:val="00B87FEB"/>
    <w:rsid w:val="00B90FE7"/>
    <w:rsid w:val="00B915C2"/>
    <w:rsid w:val="00B91F4B"/>
    <w:rsid w:val="00B92491"/>
    <w:rsid w:val="00B92A87"/>
    <w:rsid w:val="00B92E59"/>
    <w:rsid w:val="00B93B2F"/>
    <w:rsid w:val="00B94526"/>
    <w:rsid w:val="00B94556"/>
    <w:rsid w:val="00B9567B"/>
    <w:rsid w:val="00B96B10"/>
    <w:rsid w:val="00B96DBC"/>
    <w:rsid w:val="00BA019F"/>
    <w:rsid w:val="00BA058D"/>
    <w:rsid w:val="00BA060B"/>
    <w:rsid w:val="00BA1918"/>
    <w:rsid w:val="00BA1A75"/>
    <w:rsid w:val="00BA20E7"/>
    <w:rsid w:val="00BA21EE"/>
    <w:rsid w:val="00BA35FA"/>
    <w:rsid w:val="00BA62DD"/>
    <w:rsid w:val="00BA6967"/>
    <w:rsid w:val="00BA72AC"/>
    <w:rsid w:val="00BA77A4"/>
    <w:rsid w:val="00BB04DB"/>
    <w:rsid w:val="00BB1AB6"/>
    <w:rsid w:val="00BB2819"/>
    <w:rsid w:val="00BB2E3B"/>
    <w:rsid w:val="00BB4361"/>
    <w:rsid w:val="00BB5804"/>
    <w:rsid w:val="00BB6190"/>
    <w:rsid w:val="00BB6DBB"/>
    <w:rsid w:val="00BB7474"/>
    <w:rsid w:val="00BB7558"/>
    <w:rsid w:val="00BB77EB"/>
    <w:rsid w:val="00BC01D7"/>
    <w:rsid w:val="00BC0390"/>
    <w:rsid w:val="00BC0CF7"/>
    <w:rsid w:val="00BC1446"/>
    <w:rsid w:val="00BC16A9"/>
    <w:rsid w:val="00BC2333"/>
    <w:rsid w:val="00BC3D6B"/>
    <w:rsid w:val="00BC450A"/>
    <w:rsid w:val="00BC4B17"/>
    <w:rsid w:val="00BC4B3A"/>
    <w:rsid w:val="00BC4D47"/>
    <w:rsid w:val="00BC4E99"/>
    <w:rsid w:val="00BC57C4"/>
    <w:rsid w:val="00BC586C"/>
    <w:rsid w:val="00BC61D7"/>
    <w:rsid w:val="00BC6475"/>
    <w:rsid w:val="00BC6D53"/>
    <w:rsid w:val="00BC723D"/>
    <w:rsid w:val="00BD037A"/>
    <w:rsid w:val="00BD0B97"/>
    <w:rsid w:val="00BD15FA"/>
    <w:rsid w:val="00BD1803"/>
    <w:rsid w:val="00BD1C6B"/>
    <w:rsid w:val="00BD23C0"/>
    <w:rsid w:val="00BD2435"/>
    <w:rsid w:val="00BD37DA"/>
    <w:rsid w:val="00BD4394"/>
    <w:rsid w:val="00BD4AA2"/>
    <w:rsid w:val="00BD4DB2"/>
    <w:rsid w:val="00BD5498"/>
    <w:rsid w:val="00BD54A5"/>
    <w:rsid w:val="00BD5774"/>
    <w:rsid w:val="00BD5915"/>
    <w:rsid w:val="00BD5D1A"/>
    <w:rsid w:val="00BD600D"/>
    <w:rsid w:val="00BD6320"/>
    <w:rsid w:val="00BD6AE6"/>
    <w:rsid w:val="00BD6BC2"/>
    <w:rsid w:val="00BD6C6E"/>
    <w:rsid w:val="00BD6F42"/>
    <w:rsid w:val="00BD7000"/>
    <w:rsid w:val="00BD7B95"/>
    <w:rsid w:val="00BD7E1F"/>
    <w:rsid w:val="00BE0846"/>
    <w:rsid w:val="00BE099C"/>
    <w:rsid w:val="00BE1090"/>
    <w:rsid w:val="00BE2834"/>
    <w:rsid w:val="00BE3087"/>
    <w:rsid w:val="00BE3AB9"/>
    <w:rsid w:val="00BE5534"/>
    <w:rsid w:val="00BE5C9F"/>
    <w:rsid w:val="00BE635E"/>
    <w:rsid w:val="00BE641F"/>
    <w:rsid w:val="00BE6727"/>
    <w:rsid w:val="00BE6E31"/>
    <w:rsid w:val="00BE7C0C"/>
    <w:rsid w:val="00BF1BA6"/>
    <w:rsid w:val="00BF20ED"/>
    <w:rsid w:val="00BF31F7"/>
    <w:rsid w:val="00BF33BF"/>
    <w:rsid w:val="00BF43BC"/>
    <w:rsid w:val="00BF4EFD"/>
    <w:rsid w:val="00BF590F"/>
    <w:rsid w:val="00BF5CB2"/>
    <w:rsid w:val="00BF77FA"/>
    <w:rsid w:val="00BF7887"/>
    <w:rsid w:val="00BF7E64"/>
    <w:rsid w:val="00C01783"/>
    <w:rsid w:val="00C02449"/>
    <w:rsid w:val="00C02C16"/>
    <w:rsid w:val="00C03216"/>
    <w:rsid w:val="00C04B14"/>
    <w:rsid w:val="00C04E29"/>
    <w:rsid w:val="00C04E2E"/>
    <w:rsid w:val="00C04E57"/>
    <w:rsid w:val="00C04EA6"/>
    <w:rsid w:val="00C052EE"/>
    <w:rsid w:val="00C0644F"/>
    <w:rsid w:val="00C07A54"/>
    <w:rsid w:val="00C108E9"/>
    <w:rsid w:val="00C112F7"/>
    <w:rsid w:val="00C11C8D"/>
    <w:rsid w:val="00C11E71"/>
    <w:rsid w:val="00C1264A"/>
    <w:rsid w:val="00C126BC"/>
    <w:rsid w:val="00C15721"/>
    <w:rsid w:val="00C15825"/>
    <w:rsid w:val="00C15AA8"/>
    <w:rsid w:val="00C16031"/>
    <w:rsid w:val="00C16138"/>
    <w:rsid w:val="00C16C65"/>
    <w:rsid w:val="00C1775C"/>
    <w:rsid w:val="00C17903"/>
    <w:rsid w:val="00C17914"/>
    <w:rsid w:val="00C20C9F"/>
    <w:rsid w:val="00C236A7"/>
    <w:rsid w:val="00C23CFE"/>
    <w:rsid w:val="00C24AF6"/>
    <w:rsid w:val="00C24CEB"/>
    <w:rsid w:val="00C24DDB"/>
    <w:rsid w:val="00C25236"/>
    <w:rsid w:val="00C25838"/>
    <w:rsid w:val="00C27F40"/>
    <w:rsid w:val="00C301D6"/>
    <w:rsid w:val="00C30447"/>
    <w:rsid w:val="00C30CE9"/>
    <w:rsid w:val="00C318C4"/>
    <w:rsid w:val="00C32B2E"/>
    <w:rsid w:val="00C32C10"/>
    <w:rsid w:val="00C33386"/>
    <w:rsid w:val="00C33E26"/>
    <w:rsid w:val="00C33FBA"/>
    <w:rsid w:val="00C3437B"/>
    <w:rsid w:val="00C34820"/>
    <w:rsid w:val="00C3495D"/>
    <w:rsid w:val="00C354A9"/>
    <w:rsid w:val="00C36030"/>
    <w:rsid w:val="00C36231"/>
    <w:rsid w:val="00C364DE"/>
    <w:rsid w:val="00C37D41"/>
    <w:rsid w:val="00C40317"/>
    <w:rsid w:val="00C40BAB"/>
    <w:rsid w:val="00C40DC1"/>
    <w:rsid w:val="00C40F37"/>
    <w:rsid w:val="00C41E81"/>
    <w:rsid w:val="00C42BEC"/>
    <w:rsid w:val="00C42E99"/>
    <w:rsid w:val="00C439FE"/>
    <w:rsid w:val="00C444F5"/>
    <w:rsid w:val="00C448C9"/>
    <w:rsid w:val="00C454C2"/>
    <w:rsid w:val="00C45678"/>
    <w:rsid w:val="00C45843"/>
    <w:rsid w:val="00C45F71"/>
    <w:rsid w:val="00C46DC2"/>
    <w:rsid w:val="00C47342"/>
    <w:rsid w:val="00C474E0"/>
    <w:rsid w:val="00C47882"/>
    <w:rsid w:val="00C47A49"/>
    <w:rsid w:val="00C50605"/>
    <w:rsid w:val="00C5111D"/>
    <w:rsid w:val="00C51A5C"/>
    <w:rsid w:val="00C51DC1"/>
    <w:rsid w:val="00C51E00"/>
    <w:rsid w:val="00C533E7"/>
    <w:rsid w:val="00C5447D"/>
    <w:rsid w:val="00C5447E"/>
    <w:rsid w:val="00C5461E"/>
    <w:rsid w:val="00C5513E"/>
    <w:rsid w:val="00C554E3"/>
    <w:rsid w:val="00C60064"/>
    <w:rsid w:val="00C608C8"/>
    <w:rsid w:val="00C60ECA"/>
    <w:rsid w:val="00C6208E"/>
    <w:rsid w:val="00C647C0"/>
    <w:rsid w:val="00C651F4"/>
    <w:rsid w:val="00C65410"/>
    <w:rsid w:val="00C6559B"/>
    <w:rsid w:val="00C65EC2"/>
    <w:rsid w:val="00C668F6"/>
    <w:rsid w:val="00C67B70"/>
    <w:rsid w:val="00C67F3E"/>
    <w:rsid w:val="00C67FE7"/>
    <w:rsid w:val="00C71382"/>
    <w:rsid w:val="00C71D98"/>
    <w:rsid w:val="00C73A53"/>
    <w:rsid w:val="00C749BB"/>
    <w:rsid w:val="00C74DFD"/>
    <w:rsid w:val="00C759F2"/>
    <w:rsid w:val="00C76EBF"/>
    <w:rsid w:val="00C77C52"/>
    <w:rsid w:val="00C80186"/>
    <w:rsid w:val="00C801A9"/>
    <w:rsid w:val="00C802C3"/>
    <w:rsid w:val="00C80516"/>
    <w:rsid w:val="00C806F2"/>
    <w:rsid w:val="00C810AC"/>
    <w:rsid w:val="00C81AC1"/>
    <w:rsid w:val="00C8218D"/>
    <w:rsid w:val="00C831FC"/>
    <w:rsid w:val="00C832F9"/>
    <w:rsid w:val="00C85D1B"/>
    <w:rsid w:val="00C85E01"/>
    <w:rsid w:val="00C872D1"/>
    <w:rsid w:val="00C901A3"/>
    <w:rsid w:val="00C902A6"/>
    <w:rsid w:val="00C91D2B"/>
    <w:rsid w:val="00C91E9B"/>
    <w:rsid w:val="00C9261C"/>
    <w:rsid w:val="00C92E4C"/>
    <w:rsid w:val="00C9373B"/>
    <w:rsid w:val="00C949C0"/>
    <w:rsid w:val="00C9701C"/>
    <w:rsid w:val="00C97271"/>
    <w:rsid w:val="00C97A26"/>
    <w:rsid w:val="00CA241B"/>
    <w:rsid w:val="00CA2A7E"/>
    <w:rsid w:val="00CA35CE"/>
    <w:rsid w:val="00CA5933"/>
    <w:rsid w:val="00CA67ED"/>
    <w:rsid w:val="00CB0376"/>
    <w:rsid w:val="00CB1E8E"/>
    <w:rsid w:val="00CB2C8B"/>
    <w:rsid w:val="00CB3376"/>
    <w:rsid w:val="00CB35B3"/>
    <w:rsid w:val="00CB3F06"/>
    <w:rsid w:val="00CB42F5"/>
    <w:rsid w:val="00CB49C7"/>
    <w:rsid w:val="00CB4B05"/>
    <w:rsid w:val="00CB4BB9"/>
    <w:rsid w:val="00CB594F"/>
    <w:rsid w:val="00CB5BA1"/>
    <w:rsid w:val="00CB6164"/>
    <w:rsid w:val="00CB66CF"/>
    <w:rsid w:val="00CB740E"/>
    <w:rsid w:val="00CB7A8B"/>
    <w:rsid w:val="00CB7FEE"/>
    <w:rsid w:val="00CC0A13"/>
    <w:rsid w:val="00CC0D2F"/>
    <w:rsid w:val="00CC1275"/>
    <w:rsid w:val="00CC142A"/>
    <w:rsid w:val="00CC142F"/>
    <w:rsid w:val="00CC1A29"/>
    <w:rsid w:val="00CC1A6F"/>
    <w:rsid w:val="00CC2AD3"/>
    <w:rsid w:val="00CC463C"/>
    <w:rsid w:val="00CC4BEC"/>
    <w:rsid w:val="00CC674E"/>
    <w:rsid w:val="00CC74B1"/>
    <w:rsid w:val="00CC79CD"/>
    <w:rsid w:val="00CC7D86"/>
    <w:rsid w:val="00CD0693"/>
    <w:rsid w:val="00CD07D7"/>
    <w:rsid w:val="00CD11D3"/>
    <w:rsid w:val="00CD1380"/>
    <w:rsid w:val="00CD16B6"/>
    <w:rsid w:val="00CD19F2"/>
    <w:rsid w:val="00CD1DD0"/>
    <w:rsid w:val="00CD2218"/>
    <w:rsid w:val="00CD2B40"/>
    <w:rsid w:val="00CD35AA"/>
    <w:rsid w:val="00CD38C3"/>
    <w:rsid w:val="00CD3CEE"/>
    <w:rsid w:val="00CD48AC"/>
    <w:rsid w:val="00CD5685"/>
    <w:rsid w:val="00CD6122"/>
    <w:rsid w:val="00CD6204"/>
    <w:rsid w:val="00CD6D31"/>
    <w:rsid w:val="00CD71B6"/>
    <w:rsid w:val="00CE05B4"/>
    <w:rsid w:val="00CE1AD2"/>
    <w:rsid w:val="00CE1CD6"/>
    <w:rsid w:val="00CE2EFB"/>
    <w:rsid w:val="00CE469C"/>
    <w:rsid w:val="00CE4A48"/>
    <w:rsid w:val="00CE559D"/>
    <w:rsid w:val="00CE5896"/>
    <w:rsid w:val="00CE5B19"/>
    <w:rsid w:val="00CE6AC0"/>
    <w:rsid w:val="00CE7109"/>
    <w:rsid w:val="00CE736A"/>
    <w:rsid w:val="00CE7397"/>
    <w:rsid w:val="00CF06A6"/>
    <w:rsid w:val="00CF1225"/>
    <w:rsid w:val="00CF1E42"/>
    <w:rsid w:val="00CF2ABC"/>
    <w:rsid w:val="00CF61B5"/>
    <w:rsid w:val="00CF66AB"/>
    <w:rsid w:val="00CF6798"/>
    <w:rsid w:val="00D0035D"/>
    <w:rsid w:val="00D00791"/>
    <w:rsid w:val="00D00B99"/>
    <w:rsid w:val="00D02E22"/>
    <w:rsid w:val="00D036C6"/>
    <w:rsid w:val="00D038C6"/>
    <w:rsid w:val="00D04848"/>
    <w:rsid w:val="00D04E76"/>
    <w:rsid w:val="00D06111"/>
    <w:rsid w:val="00D07810"/>
    <w:rsid w:val="00D07B29"/>
    <w:rsid w:val="00D10698"/>
    <w:rsid w:val="00D107FE"/>
    <w:rsid w:val="00D11BAF"/>
    <w:rsid w:val="00D131FD"/>
    <w:rsid w:val="00D13483"/>
    <w:rsid w:val="00D14888"/>
    <w:rsid w:val="00D15A9D"/>
    <w:rsid w:val="00D1688B"/>
    <w:rsid w:val="00D16AAA"/>
    <w:rsid w:val="00D16C2D"/>
    <w:rsid w:val="00D2042B"/>
    <w:rsid w:val="00D2128D"/>
    <w:rsid w:val="00D2148C"/>
    <w:rsid w:val="00D2152E"/>
    <w:rsid w:val="00D22010"/>
    <w:rsid w:val="00D22767"/>
    <w:rsid w:val="00D22E3F"/>
    <w:rsid w:val="00D23B47"/>
    <w:rsid w:val="00D23FC0"/>
    <w:rsid w:val="00D25345"/>
    <w:rsid w:val="00D256D7"/>
    <w:rsid w:val="00D26776"/>
    <w:rsid w:val="00D26E3E"/>
    <w:rsid w:val="00D27E35"/>
    <w:rsid w:val="00D30B8A"/>
    <w:rsid w:val="00D318F0"/>
    <w:rsid w:val="00D31C71"/>
    <w:rsid w:val="00D32FB4"/>
    <w:rsid w:val="00D33466"/>
    <w:rsid w:val="00D34DC9"/>
    <w:rsid w:val="00D356EF"/>
    <w:rsid w:val="00D36107"/>
    <w:rsid w:val="00D36335"/>
    <w:rsid w:val="00D364AE"/>
    <w:rsid w:val="00D36E88"/>
    <w:rsid w:val="00D36EAE"/>
    <w:rsid w:val="00D371D8"/>
    <w:rsid w:val="00D40A62"/>
    <w:rsid w:val="00D40B9B"/>
    <w:rsid w:val="00D4147D"/>
    <w:rsid w:val="00D4197B"/>
    <w:rsid w:val="00D44A4B"/>
    <w:rsid w:val="00D45022"/>
    <w:rsid w:val="00D4549F"/>
    <w:rsid w:val="00D458A4"/>
    <w:rsid w:val="00D45AB8"/>
    <w:rsid w:val="00D46502"/>
    <w:rsid w:val="00D473F7"/>
    <w:rsid w:val="00D475D7"/>
    <w:rsid w:val="00D47B18"/>
    <w:rsid w:val="00D47BA7"/>
    <w:rsid w:val="00D5004A"/>
    <w:rsid w:val="00D50207"/>
    <w:rsid w:val="00D51321"/>
    <w:rsid w:val="00D51DF5"/>
    <w:rsid w:val="00D53333"/>
    <w:rsid w:val="00D544B0"/>
    <w:rsid w:val="00D5489E"/>
    <w:rsid w:val="00D54CA6"/>
    <w:rsid w:val="00D5542B"/>
    <w:rsid w:val="00D55B1C"/>
    <w:rsid w:val="00D5648B"/>
    <w:rsid w:val="00D56A35"/>
    <w:rsid w:val="00D57E41"/>
    <w:rsid w:val="00D61C4F"/>
    <w:rsid w:val="00D626F8"/>
    <w:rsid w:val="00D628D8"/>
    <w:rsid w:val="00D63433"/>
    <w:rsid w:val="00D63DB6"/>
    <w:rsid w:val="00D63EFC"/>
    <w:rsid w:val="00D645DF"/>
    <w:rsid w:val="00D654ED"/>
    <w:rsid w:val="00D655B4"/>
    <w:rsid w:val="00D65A64"/>
    <w:rsid w:val="00D66F42"/>
    <w:rsid w:val="00D71035"/>
    <w:rsid w:val="00D71B1E"/>
    <w:rsid w:val="00D71DDC"/>
    <w:rsid w:val="00D731EA"/>
    <w:rsid w:val="00D73AC4"/>
    <w:rsid w:val="00D73AD4"/>
    <w:rsid w:val="00D77A32"/>
    <w:rsid w:val="00D77F83"/>
    <w:rsid w:val="00D80037"/>
    <w:rsid w:val="00D80103"/>
    <w:rsid w:val="00D8107B"/>
    <w:rsid w:val="00D810A3"/>
    <w:rsid w:val="00D810D4"/>
    <w:rsid w:val="00D8147D"/>
    <w:rsid w:val="00D824A4"/>
    <w:rsid w:val="00D832F3"/>
    <w:rsid w:val="00D83409"/>
    <w:rsid w:val="00D836AD"/>
    <w:rsid w:val="00D841BF"/>
    <w:rsid w:val="00D84D49"/>
    <w:rsid w:val="00D85287"/>
    <w:rsid w:val="00D86178"/>
    <w:rsid w:val="00D86214"/>
    <w:rsid w:val="00D868F5"/>
    <w:rsid w:val="00D8696E"/>
    <w:rsid w:val="00D86E57"/>
    <w:rsid w:val="00D87D41"/>
    <w:rsid w:val="00D87EF4"/>
    <w:rsid w:val="00D906F0"/>
    <w:rsid w:val="00D907B0"/>
    <w:rsid w:val="00D90A71"/>
    <w:rsid w:val="00D91607"/>
    <w:rsid w:val="00D91D6B"/>
    <w:rsid w:val="00D92294"/>
    <w:rsid w:val="00D9404E"/>
    <w:rsid w:val="00D943CD"/>
    <w:rsid w:val="00D94D12"/>
    <w:rsid w:val="00D953A4"/>
    <w:rsid w:val="00D968C3"/>
    <w:rsid w:val="00D96AA9"/>
    <w:rsid w:val="00D96FB4"/>
    <w:rsid w:val="00DA0622"/>
    <w:rsid w:val="00DA069C"/>
    <w:rsid w:val="00DA155E"/>
    <w:rsid w:val="00DA1BF1"/>
    <w:rsid w:val="00DA26CD"/>
    <w:rsid w:val="00DA3902"/>
    <w:rsid w:val="00DA3F96"/>
    <w:rsid w:val="00DA48CA"/>
    <w:rsid w:val="00DA660C"/>
    <w:rsid w:val="00DA6670"/>
    <w:rsid w:val="00DB33F6"/>
    <w:rsid w:val="00DB35B3"/>
    <w:rsid w:val="00DB3CD0"/>
    <w:rsid w:val="00DB4184"/>
    <w:rsid w:val="00DB55E5"/>
    <w:rsid w:val="00DB6262"/>
    <w:rsid w:val="00DB66AA"/>
    <w:rsid w:val="00DB6754"/>
    <w:rsid w:val="00DB6A73"/>
    <w:rsid w:val="00DB7C0A"/>
    <w:rsid w:val="00DC1269"/>
    <w:rsid w:val="00DC1A41"/>
    <w:rsid w:val="00DC229D"/>
    <w:rsid w:val="00DC2400"/>
    <w:rsid w:val="00DC27A2"/>
    <w:rsid w:val="00DC3311"/>
    <w:rsid w:val="00DC355B"/>
    <w:rsid w:val="00DC3E5D"/>
    <w:rsid w:val="00DC430C"/>
    <w:rsid w:val="00DC5B82"/>
    <w:rsid w:val="00DC600F"/>
    <w:rsid w:val="00DC702F"/>
    <w:rsid w:val="00DC7B79"/>
    <w:rsid w:val="00DD1095"/>
    <w:rsid w:val="00DD17A9"/>
    <w:rsid w:val="00DD1E6B"/>
    <w:rsid w:val="00DD333D"/>
    <w:rsid w:val="00DD3B00"/>
    <w:rsid w:val="00DD4168"/>
    <w:rsid w:val="00DD6133"/>
    <w:rsid w:val="00DD6987"/>
    <w:rsid w:val="00DD7CF8"/>
    <w:rsid w:val="00DE0F4F"/>
    <w:rsid w:val="00DE1715"/>
    <w:rsid w:val="00DE2053"/>
    <w:rsid w:val="00DE22DD"/>
    <w:rsid w:val="00DE2AF8"/>
    <w:rsid w:val="00DE2E9B"/>
    <w:rsid w:val="00DE301B"/>
    <w:rsid w:val="00DE3182"/>
    <w:rsid w:val="00DE4862"/>
    <w:rsid w:val="00DE4CB8"/>
    <w:rsid w:val="00DE4D45"/>
    <w:rsid w:val="00DE54BD"/>
    <w:rsid w:val="00DE55DC"/>
    <w:rsid w:val="00DE6265"/>
    <w:rsid w:val="00DE6454"/>
    <w:rsid w:val="00DE6858"/>
    <w:rsid w:val="00DE6B06"/>
    <w:rsid w:val="00DF0F23"/>
    <w:rsid w:val="00DF1C8C"/>
    <w:rsid w:val="00DF2BEB"/>
    <w:rsid w:val="00DF34BE"/>
    <w:rsid w:val="00DF356A"/>
    <w:rsid w:val="00DF375C"/>
    <w:rsid w:val="00DF3826"/>
    <w:rsid w:val="00DF3AC4"/>
    <w:rsid w:val="00DF3E2C"/>
    <w:rsid w:val="00DF3F39"/>
    <w:rsid w:val="00DF457A"/>
    <w:rsid w:val="00DF4E0E"/>
    <w:rsid w:val="00DF5B28"/>
    <w:rsid w:val="00DF6A2D"/>
    <w:rsid w:val="00DF6F20"/>
    <w:rsid w:val="00DF7351"/>
    <w:rsid w:val="00DF76BE"/>
    <w:rsid w:val="00E00479"/>
    <w:rsid w:val="00E0123D"/>
    <w:rsid w:val="00E012FA"/>
    <w:rsid w:val="00E02A2C"/>
    <w:rsid w:val="00E02C4B"/>
    <w:rsid w:val="00E03F1A"/>
    <w:rsid w:val="00E03FC7"/>
    <w:rsid w:val="00E045A3"/>
    <w:rsid w:val="00E05367"/>
    <w:rsid w:val="00E05D5B"/>
    <w:rsid w:val="00E07379"/>
    <w:rsid w:val="00E07C6C"/>
    <w:rsid w:val="00E10532"/>
    <w:rsid w:val="00E10ECF"/>
    <w:rsid w:val="00E11DF8"/>
    <w:rsid w:val="00E120DD"/>
    <w:rsid w:val="00E123D4"/>
    <w:rsid w:val="00E125DD"/>
    <w:rsid w:val="00E125EA"/>
    <w:rsid w:val="00E12718"/>
    <w:rsid w:val="00E12D31"/>
    <w:rsid w:val="00E12F51"/>
    <w:rsid w:val="00E13E54"/>
    <w:rsid w:val="00E13FD5"/>
    <w:rsid w:val="00E14498"/>
    <w:rsid w:val="00E1493B"/>
    <w:rsid w:val="00E14D32"/>
    <w:rsid w:val="00E14E8B"/>
    <w:rsid w:val="00E15595"/>
    <w:rsid w:val="00E15E0C"/>
    <w:rsid w:val="00E1662B"/>
    <w:rsid w:val="00E20779"/>
    <w:rsid w:val="00E215D6"/>
    <w:rsid w:val="00E21743"/>
    <w:rsid w:val="00E22424"/>
    <w:rsid w:val="00E23D15"/>
    <w:rsid w:val="00E256C7"/>
    <w:rsid w:val="00E25D58"/>
    <w:rsid w:val="00E25E3B"/>
    <w:rsid w:val="00E26D6F"/>
    <w:rsid w:val="00E27401"/>
    <w:rsid w:val="00E31F2E"/>
    <w:rsid w:val="00E325D0"/>
    <w:rsid w:val="00E32775"/>
    <w:rsid w:val="00E32B49"/>
    <w:rsid w:val="00E33959"/>
    <w:rsid w:val="00E34151"/>
    <w:rsid w:val="00E356D2"/>
    <w:rsid w:val="00E35B9F"/>
    <w:rsid w:val="00E35D86"/>
    <w:rsid w:val="00E36ACF"/>
    <w:rsid w:val="00E36DEB"/>
    <w:rsid w:val="00E3708D"/>
    <w:rsid w:val="00E37B16"/>
    <w:rsid w:val="00E40816"/>
    <w:rsid w:val="00E418F5"/>
    <w:rsid w:val="00E41BCD"/>
    <w:rsid w:val="00E42F94"/>
    <w:rsid w:val="00E44335"/>
    <w:rsid w:val="00E4450F"/>
    <w:rsid w:val="00E44A85"/>
    <w:rsid w:val="00E453DA"/>
    <w:rsid w:val="00E47661"/>
    <w:rsid w:val="00E47A21"/>
    <w:rsid w:val="00E47BFD"/>
    <w:rsid w:val="00E5044B"/>
    <w:rsid w:val="00E50F32"/>
    <w:rsid w:val="00E51830"/>
    <w:rsid w:val="00E5291E"/>
    <w:rsid w:val="00E52ECA"/>
    <w:rsid w:val="00E530A5"/>
    <w:rsid w:val="00E530B4"/>
    <w:rsid w:val="00E530FC"/>
    <w:rsid w:val="00E53E95"/>
    <w:rsid w:val="00E54007"/>
    <w:rsid w:val="00E54298"/>
    <w:rsid w:val="00E54555"/>
    <w:rsid w:val="00E545E9"/>
    <w:rsid w:val="00E54AAD"/>
    <w:rsid w:val="00E54B1D"/>
    <w:rsid w:val="00E54C92"/>
    <w:rsid w:val="00E54EEE"/>
    <w:rsid w:val="00E5757A"/>
    <w:rsid w:val="00E60299"/>
    <w:rsid w:val="00E61E87"/>
    <w:rsid w:val="00E62812"/>
    <w:rsid w:val="00E62D8F"/>
    <w:rsid w:val="00E6315A"/>
    <w:rsid w:val="00E63353"/>
    <w:rsid w:val="00E64E04"/>
    <w:rsid w:val="00E66F29"/>
    <w:rsid w:val="00E6707C"/>
    <w:rsid w:val="00E677D4"/>
    <w:rsid w:val="00E71281"/>
    <w:rsid w:val="00E71974"/>
    <w:rsid w:val="00E727A0"/>
    <w:rsid w:val="00E72DB9"/>
    <w:rsid w:val="00E743F4"/>
    <w:rsid w:val="00E7485E"/>
    <w:rsid w:val="00E750C2"/>
    <w:rsid w:val="00E75428"/>
    <w:rsid w:val="00E75E75"/>
    <w:rsid w:val="00E7743B"/>
    <w:rsid w:val="00E777C7"/>
    <w:rsid w:val="00E77FE9"/>
    <w:rsid w:val="00E80C35"/>
    <w:rsid w:val="00E81754"/>
    <w:rsid w:val="00E8224A"/>
    <w:rsid w:val="00E83B5E"/>
    <w:rsid w:val="00E83B83"/>
    <w:rsid w:val="00E846EC"/>
    <w:rsid w:val="00E849B7"/>
    <w:rsid w:val="00E84AA8"/>
    <w:rsid w:val="00E84CBF"/>
    <w:rsid w:val="00E90126"/>
    <w:rsid w:val="00E90998"/>
    <w:rsid w:val="00E91801"/>
    <w:rsid w:val="00E924FE"/>
    <w:rsid w:val="00E92BE9"/>
    <w:rsid w:val="00E93751"/>
    <w:rsid w:val="00E93784"/>
    <w:rsid w:val="00E941A5"/>
    <w:rsid w:val="00E94215"/>
    <w:rsid w:val="00E94575"/>
    <w:rsid w:val="00E96B5E"/>
    <w:rsid w:val="00E97ADA"/>
    <w:rsid w:val="00E97B73"/>
    <w:rsid w:val="00E97E6B"/>
    <w:rsid w:val="00EA0020"/>
    <w:rsid w:val="00EA0F08"/>
    <w:rsid w:val="00EA40C0"/>
    <w:rsid w:val="00EA46D7"/>
    <w:rsid w:val="00EA4D12"/>
    <w:rsid w:val="00EA57E7"/>
    <w:rsid w:val="00EA5F92"/>
    <w:rsid w:val="00EA7E50"/>
    <w:rsid w:val="00EA7FB6"/>
    <w:rsid w:val="00EB0038"/>
    <w:rsid w:val="00EB0FD5"/>
    <w:rsid w:val="00EB16C2"/>
    <w:rsid w:val="00EB198C"/>
    <w:rsid w:val="00EB248D"/>
    <w:rsid w:val="00EB2FD6"/>
    <w:rsid w:val="00EB398A"/>
    <w:rsid w:val="00EB4640"/>
    <w:rsid w:val="00EB4772"/>
    <w:rsid w:val="00EB6149"/>
    <w:rsid w:val="00EB67CD"/>
    <w:rsid w:val="00EB76C1"/>
    <w:rsid w:val="00EB7F80"/>
    <w:rsid w:val="00EC005F"/>
    <w:rsid w:val="00EC01F1"/>
    <w:rsid w:val="00EC0DD1"/>
    <w:rsid w:val="00EC1353"/>
    <w:rsid w:val="00EC1466"/>
    <w:rsid w:val="00EC17A2"/>
    <w:rsid w:val="00EC19FD"/>
    <w:rsid w:val="00EC2415"/>
    <w:rsid w:val="00EC25C1"/>
    <w:rsid w:val="00EC5E9A"/>
    <w:rsid w:val="00EC5F42"/>
    <w:rsid w:val="00EC6BBE"/>
    <w:rsid w:val="00ED1293"/>
    <w:rsid w:val="00ED194D"/>
    <w:rsid w:val="00ED195E"/>
    <w:rsid w:val="00ED1A76"/>
    <w:rsid w:val="00ED1C15"/>
    <w:rsid w:val="00ED2240"/>
    <w:rsid w:val="00ED2633"/>
    <w:rsid w:val="00ED26D9"/>
    <w:rsid w:val="00ED2CF7"/>
    <w:rsid w:val="00ED3B4A"/>
    <w:rsid w:val="00ED71E1"/>
    <w:rsid w:val="00ED75E6"/>
    <w:rsid w:val="00ED7AE3"/>
    <w:rsid w:val="00EE0297"/>
    <w:rsid w:val="00EE0CE0"/>
    <w:rsid w:val="00EE0FF9"/>
    <w:rsid w:val="00EE1692"/>
    <w:rsid w:val="00EE1AFE"/>
    <w:rsid w:val="00EE1C5D"/>
    <w:rsid w:val="00EE2290"/>
    <w:rsid w:val="00EE2C5E"/>
    <w:rsid w:val="00EE3494"/>
    <w:rsid w:val="00EE3DA8"/>
    <w:rsid w:val="00EE4620"/>
    <w:rsid w:val="00EE5035"/>
    <w:rsid w:val="00EE51B9"/>
    <w:rsid w:val="00EE5E4E"/>
    <w:rsid w:val="00EE6256"/>
    <w:rsid w:val="00EE77F8"/>
    <w:rsid w:val="00EE7C9C"/>
    <w:rsid w:val="00EF0176"/>
    <w:rsid w:val="00EF0624"/>
    <w:rsid w:val="00EF0BDB"/>
    <w:rsid w:val="00EF0E02"/>
    <w:rsid w:val="00EF1B69"/>
    <w:rsid w:val="00EF1F12"/>
    <w:rsid w:val="00EF32FF"/>
    <w:rsid w:val="00EF3A7E"/>
    <w:rsid w:val="00EF43B8"/>
    <w:rsid w:val="00EF6DFB"/>
    <w:rsid w:val="00EF707D"/>
    <w:rsid w:val="00EF7638"/>
    <w:rsid w:val="00EF77FA"/>
    <w:rsid w:val="00EF7E18"/>
    <w:rsid w:val="00F0006A"/>
    <w:rsid w:val="00F0069E"/>
    <w:rsid w:val="00F00863"/>
    <w:rsid w:val="00F00FB0"/>
    <w:rsid w:val="00F017B5"/>
    <w:rsid w:val="00F0257E"/>
    <w:rsid w:val="00F0304E"/>
    <w:rsid w:val="00F036D2"/>
    <w:rsid w:val="00F04AFD"/>
    <w:rsid w:val="00F04B52"/>
    <w:rsid w:val="00F04F80"/>
    <w:rsid w:val="00F06972"/>
    <w:rsid w:val="00F072BE"/>
    <w:rsid w:val="00F100E5"/>
    <w:rsid w:val="00F110A1"/>
    <w:rsid w:val="00F14B48"/>
    <w:rsid w:val="00F154FC"/>
    <w:rsid w:val="00F15F87"/>
    <w:rsid w:val="00F1624A"/>
    <w:rsid w:val="00F171B6"/>
    <w:rsid w:val="00F172B7"/>
    <w:rsid w:val="00F2017B"/>
    <w:rsid w:val="00F22B9D"/>
    <w:rsid w:val="00F233AC"/>
    <w:rsid w:val="00F2347D"/>
    <w:rsid w:val="00F23511"/>
    <w:rsid w:val="00F23AEC"/>
    <w:rsid w:val="00F25760"/>
    <w:rsid w:val="00F25E6C"/>
    <w:rsid w:val="00F264DE"/>
    <w:rsid w:val="00F26537"/>
    <w:rsid w:val="00F26958"/>
    <w:rsid w:val="00F26A60"/>
    <w:rsid w:val="00F271EF"/>
    <w:rsid w:val="00F27420"/>
    <w:rsid w:val="00F3067C"/>
    <w:rsid w:val="00F306EF"/>
    <w:rsid w:val="00F307E8"/>
    <w:rsid w:val="00F325AF"/>
    <w:rsid w:val="00F327F2"/>
    <w:rsid w:val="00F328CA"/>
    <w:rsid w:val="00F33209"/>
    <w:rsid w:val="00F33EC4"/>
    <w:rsid w:val="00F34471"/>
    <w:rsid w:val="00F34C80"/>
    <w:rsid w:val="00F357AA"/>
    <w:rsid w:val="00F35FCD"/>
    <w:rsid w:val="00F36C50"/>
    <w:rsid w:val="00F36F65"/>
    <w:rsid w:val="00F37B1D"/>
    <w:rsid w:val="00F40107"/>
    <w:rsid w:val="00F40171"/>
    <w:rsid w:val="00F402DD"/>
    <w:rsid w:val="00F40954"/>
    <w:rsid w:val="00F411B9"/>
    <w:rsid w:val="00F423C1"/>
    <w:rsid w:val="00F43038"/>
    <w:rsid w:val="00F4387D"/>
    <w:rsid w:val="00F43A26"/>
    <w:rsid w:val="00F43BEA"/>
    <w:rsid w:val="00F44549"/>
    <w:rsid w:val="00F448CC"/>
    <w:rsid w:val="00F45D9A"/>
    <w:rsid w:val="00F46E9B"/>
    <w:rsid w:val="00F4712A"/>
    <w:rsid w:val="00F47188"/>
    <w:rsid w:val="00F4728D"/>
    <w:rsid w:val="00F53550"/>
    <w:rsid w:val="00F53ED4"/>
    <w:rsid w:val="00F53F99"/>
    <w:rsid w:val="00F543D3"/>
    <w:rsid w:val="00F54D09"/>
    <w:rsid w:val="00F5598F"/>
    <w:rsid w:val="00F56261"/>
    <w:rsid w:val="00F56C8B"/>
    <w:rsid w:val="00F57550"/>
    <w:rsid w:val="00F5792D"/>
    <w:rsid w:val="00F6013C"/>
    <w:rsid w:val="00F635A8"/>
    <w:rsid w:val="00F64EBE"/>
    <w:rsid w:val="00F64FF5"/>
    <w:rsid w:val="00F6584B"/>
    <w:rsid w:val="00F658E6"/>
    <w:rsid w:val="00F65A65"/>
    <w:rsid w:val="00F6639D"/>
    <w:rsid w:val="00F676B2"/>
    <w:rsid w:val="00F67F7A"/>
    <w:rsid w:val="00F706F4"/>
    <w:rsid w:val="00F70B14"/>
    <w:rsid w:val="00F70DB8"/>
    <w:rsid w:val="00F7174B"/>
    <w:rsid w:val="00F7188A"/>
    <w:rsid w:val="00F71919"/>
    <w:rsid w:val="00F7203C"/>
    <w:rsid w:val="00F729C0"/>
    <w:rsid w:val="00F72D4B"/>
    <w:rsid w:val="00F734C3"/>
    <w:rsid w:val="00F7419A"/>
    <w:rsid w:val="00F75D71"/>
    <w:rsid w:val="00F75EBA"/>
    <w:rsid w:val="00F76333"/>
    <w:rsid w:val="00F77E0B"/>
    <w:rsid w:val="00F80A8E"/>
    <w:rsid w:val="00F815E3"/>
    <w:rsid w:val="00F819FC"/>
    <w:rsid w:val="00F81DA8"/>
    <w:rsid w:val="00F82C90"/>
    <w:rsid w:val="00F83FBF"/>
    <w:rsid w:val="00F845DA"/>
    <w:rsid w:val="00F859CA"/>
    <w:rsid w:val="00F85EA2"/>
    <w:rsid w:val="00F86642"/>
    <w:rsid w:val="00F871D6"/>
    <w:rsid w:val="00F876C6"/>
    <w:rsid w:val="00F87C3A"/>
    <w:rsid w:val="00F903BD"/>
    <w:rsid w:val="00F905DD"/>
    <w:rsid w:val="00F9081D"/>
    <w:rsid w:val="00F91C60"/>
    <w:rsid w:val="00F92155"/>
    <w:rsid w:val="00F9285F"/>
    <w:rsid w:val="00F93540"/>
    <w:rsid w:val="00F9355F"/>
    <w:rsid w:val="00F94944"/>
    <w:rsid w:val="00F9590D"/>
    <w:rsid w:val="00F95F2F"/>
    <w:rsid w:val="00F962A1"/>
    <w:rsid w:val="00F96895"/>
    <w:rsid w:val="00F96C71"/>
    <w:rsid w:val="00F97454"/>
    <w:rsid w:val="00F97777"/>
    <w:rsid w:val="00FA1231"/>
    <w:rsid w:val="00FA1235"/>
    <w:rsid w:val="00FA1386"/>
    <w:rsid w:val="00FA1487"/>
    <w:rsid w:val="00FA1C08"/>
    <w:rsid w:val="00FA3054"/>
    <w:rsid w:val="00FA43DD"/>
    <w:rsid w:val="00FA563D"/>
    <w:rsid w:val="00FA57CA"/>
    <w:rsid w:val="00FA5F84"/>
    <w:rsid w:val="00FA6BBE"/>
    <w:rsid w:val="00FA75CC"/>
    <w:rsid w:val="00FB1E0F"/>
    <w:rsid w:val="00FB23CB"/>
    <w:rsid w:val="00FB3728"/>
    <w:rsid w:val="00FB39C6"/>
    <w:rsid w:val="00FB4073"/>
    <w:rsid w:val="00FB70A5"/>
    <w:rsid w:val="00FC0BD2"/>
    <w:rsid w:val="00FC1384"/>
    <w:rsid w:val="00FC1A4C"/>
    <w:rsid w:val="00FC1DEA"/>
    <w:rsid w:val="00FC2D2A"/>
    <w:rsid w:val="00FC38AF"/>
    <w:rsid w:val="00FC3B3F"/>
    <w:rsid w:val="00FC4FB5"/>
    <w:rsid w:val="00FC5516"/>
    <w:rsid w:val="00FC55B6"/>
    <w:rsid w:val="00FC5EBD"/>
    <w:rsid w:val="00FC5F46"/>
    <w:rsid w:val="00FC600C"/>
    <w:rsid w:val="00FC62D5"/>
    <w:rsid w:val="00FC6B46"/>
    <w:rsid w:val="00FC6FCF"/>
    <w:rsid w:val="00FC7444"/>
    <w:rsid w:val="00FD01BC"/>
    <w:rsid w:val="00FD428B"/>
    <w:rsid w:val="00FD44B3"/>
    <w:rsid w:val="00FD4ECC"/>
    <w:rsid w:val="00FD50F3"/>
    <w:rsid w:val="00FD53CA"/>
    <w:rsid w:val="00FD5B5B"/>
    <w:rsid w:val="00FD67EB"/>
    <w:rsid w:val="00FD6BEA"/>
    <w:rsid w:val="00FD72B2"/>
    <w:rsid w:val="00FD7B39"/>
    <w:rsid w:val="00FE039B"/>
    <w:rsid w:val="00FE2000"/>
    <w:rsid w:val="00FE2CF1"/>
    <w:rsid w:val="00FE31F8"/>
    <w:rsid w:val="00FE3255"/>
    <w:rsid w:val="00FE34C1"/>
    <w:rsid w:val="00FE3500"/>
    <w:rsid w:val="00FE3F35"/>
    <w:rsid w:val="00FE4CD4"/>
    <w:rsid w:val="00FE54E7"/>
    <w:rsid w:val="00FE5564"/>
    <w:rsid w:val="00FE574F"/>
    <w:rsid w:val="00FE5D5B"/>
    <w:rsid w:val="00FE6FDD"/>
    <w:rsid w:val="00FE7F7C"/>
    <w:rsid w:val="00FF0C35"/>
    <w:rsid w:val="00FF2D08"/>
    <w:rsid w:val="00FF36AE"/>
    <w:rsid w:val="00FF3964"/>
    <w:rsid w:val="00FF53AF"/>
    <w:rsid w:val="00FF7264"/>
    <w:rsid w:val="00FF7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C91E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C91E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1E9B"/>
    <w:rPr>
      <w:rFonts w:ascii="Times New Roman" w:eastAsia="Times New Roman" w:hAnsi="Times New Roman" w:cs="Times New Roman"/>
      <w:b/>
      <w:bCs/>
      <w:kern w:val="36"/>
      <w:sz w:val="48"/>
      <w:szCs w:val="48"/>
      <w:lang w:eastAsia="fr-FR"/>
    </w:rPr>
  </w:style>
  <w:style w:type="character" w:customStyle="1" w:styleId="author-name">
    <w:name w:val="author-name"/>
    <w:basedOn w:val="Policepardfaut"/>
    <w:rsid w:val="00C91E9B"/>
  </w:style>
  <w:style w:type="character" w:styleId="Lienhypertexte">
    <w:name w:val="Hyperlink"/>
    <w:basedOn w:val="Policepardfaut"/>
    <w:uiPriority w:val="99"/>
    <w:unhideWhenUsed/>
    <w:rsid w:val="00C91E9B"/>
    <w:rPr>
      <w:color w:val="0000FF"/>
      <w:u w:val="single"/>
    </w:rPr>
  </w:style>
  <w:style w:type="character" w:styleId="Accentuation">
    <w:name w:val="Emphasis"/>
    <w:basedOn w:val="Policepardfaut"/>
    <w:uiPriority w:val="20"/>
    <w:qFormat/>
    <w:rsid w:val="00C91E9B"/>
    <w:rPr>
      <w:i/>
      <w:iCs/>
    </w:rPr>
  </w:style>
  <w:style w:type="character" w:customStyle="1" w:styleId="Titre2Car">
    <w:name w:val="Titre 2 Car"/>
    <w:basedOn w:val="Policepardfaut"/>
    <w:link w:val="Titre2"/>
    <w:uiPriority w:val="9"/>
    <w:semiHidden/>
    <w:rsid w:val="00C91E9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C91E9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662639"/>
    <w:pPr>
      <w:tabs>
        <w:tab w:val="center" w:pos="4536"/>
        <w:tab w:val="right" w:pos="9072"/>
      </w:tabs>
      <w:spacing w:after="0" w:line="240" w:lineRule="auto"/>
    </w:pPr>
  </w:style>
  <w:style w:type="character" w:customStyle="1" w:styleId="En-tteCar">
    <w:name w:val="En-tête Car"/>
    <w:basedOn w:val="Policepardfaut"/>
    <w:link w:val="En-tte"/>
    <w:uiPriority w:val="99"/>
    <w:rsid w:val="00662639"/>
  </w:style>
  <w:style w:type="paragraph" w:styleId="Pieddepage">
    <w:name w:val="footer"/>
    <w:basedOn w:val="Normal"/>
    <w:link w:val="PieddepageCar"/>
    <w:uiPriority w:val="99"/>
    <w:unhideWhenUsed/>
    <w:rsid w:val="006626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2639"/>
  </w:style>
  <w:style w:type="paragraph" w:styleId="Textedebulles">
    <w:name w:val="Balloon Text"/>
    <w:basedOn w:val="Normal"/>
    <w:link w:val="TextedebullesCar"/>
    <w:uiPriority w:val="99"/>
    <w:semiHidden/>
    <w:unhideWhenUsed/>
    <w:rsid w:val="006626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62639"/>
    <w:rPr>
      <w:rFonts w:ascii="Tahoma" w:hAnsi="Tahoma" w:cs="Tahoma"/>
      <w:sz w:val="16"/>
      <w:szCs w:val="16"/>
    </w:rPr>
  </w:style>
  <w:style w:type="paragraph" w:styleId="Paragraphedeliste">
    <w:name w:val="List Paragraph"/>
    <w:basedOn w:val="Normal"/>
    <w:uiPriority w:val="34"/>
    <w:qFormat/>
    <w:rsid w:val="00041B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C91E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C91E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1E9B"/>
    <w:rPr>
      <w:rFonts w:ascii="Times New Roman" w:eastAsia="Times New Roman" w:hAnsi="Times New Roman" w:cs="Times New Roman"/>
      <w:b/>
      <w:bCs/>
      <w:kern w:val="36"/>
      <w:sz w:val="48"/>
      <w:szCs w:val="48"/>
      <w:lang w:eastAsia="fr-FR"/>
    </w:rPr>
  </w:style>
  <w:style w:type="character" w:customStyle="1" w:styleId="author-name">
    <w:name w:val="author-name"/>
    <w:basedOn w:val="Policepardfaut"/>
    <w:rsid w:val="00C91E9B"/>
  </w:style>
  <w:style w:type="character" w:styleId="Lienhypertexte">
    <w:name w:val="Hyperlink"/>
    <w:basedOn w:val="Policepardfaut"/>
    <w:uiPriority w:val="99"/>
    <w:unhideWhenUsed/>
    <w:rsid w:val="00C91E9B"/>
    <w:rPr>
      <w:color w:val="0000FF"/>
      <w:u w:val="single"/>
    </w:rPr>
  </w:style>
  <w:style w:type="character" w:styleId="Accentuation">
    <w:name w:val="Emphasis"/>
    <w:basedOn w:val="Policepardfaut"/>
    <w:uiPriority w:val="20"/>
    <w:qFormat/>
    <w:rsid w:val="00C91E9B"/>
    <w:rPr>
      <w:i/>
      <w:iCs/>
    </w:rPr>
  </w:style>
  <w:style w:type="character" w:customStyle="1" w:styleId="Titre2Car">
    <w:name w:val="Titre 2 Car"/>
    <w:basedOn w:val="Policepardfaut"/>
    <w:link w:val="Titre2"/>
    <w:uiPriority w:val="9"/>
    <w:semiHidden/>
    <w:rsid w:val="00C91E9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C91E9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662639"/>
    <w:pPr>
      <w:tabs>
        <w:tab w:val="center" w:pos="4536"/>
        <w:tab w:val="right" w:pos="9072"/>
      </w:tabs>
      <w:spacing w:after="0" w:line="240" w:lineRule="auto"/>
    </w:pPr>
  </w:style>
  <w:style w:type="character" w:customStyle="1" w:styleId="En-tteCar">
    <w:name w:val="En-tête Car"/>
    <w:basedOn w:val="Policepardfaut"/>
    <w:link w:val="En-tte"/>
    <w:uiPriority w:val="99"/>
    <w:rsid w:val="00662639"/>
  </w:style>
  <w:style w:type="paragraph" w:styleId="Pieddepage">
    <w:name w:val="footer"/>
    <w:basedOn w:val="Normal"/>
    <w:link w:val="PieddepageCar"/>
    <w:uiPriority w:val="99"/>
    <w:unhideWhenUsed/>
    <w:rsid w:val="006626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2639"/>
  </w:style>
  <w:style w:type="paragraph" w:styleId="Textedebulles">
    <w:name w:val="Balloon Text"/>
    <w:basedOn w:val="Normal"/>
    <w:link w:val="TextedebullesCar"/>
    <w:uiPriority w:val="99"/>
    <w:semiHidden/>
    <w:unhideWhenUsed/>
    <w:rsid w:val="006626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62639"/>
    <w:rPr>
      <w:rFonts w:ascii="Tahoma" w:hAnsi="Tahoma" w:cs="Tahoma"/>
      <w:sz w:val="16"/>
      <w:szCs w:val="16"/>
    </w:rPr>
  </w:style>
  <w:style w:type="paragraph" w:styleId="Paragraphedeliste">
    <w:name w:val="List Paragraph"/>
    <w:basedOn w:val="Normal"/>
    <w:uiPriority w:val="34"/>
    <w:qFormat/>
    <w:rsid w:val="00041B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28849">
      <w:bodyDiv w:val="1"/>
      <w:marLeft w:val="0"/>
      <w:marRight w:val="0"/>
      <w:marTop w:val="0"/>
      <w:marBottom w:val="0"/>
      <w:divBdr>
        <w:top w:val="none" w:sz="0" w:space="0" w:color="auto"/>
        <w:left w:val="none" w:sz="0" w:space="0" w:color="auto"/>
        <w:bottom w:val="none" w:sz="0" w:space="0" w:color="auto"/>
        <w:right w:val="none" w:sz="0" w:space="0" w:color="auto"/>
      </w:divBdr>
    </w:div>
    <w:div w:id="944191852">
      <w:bodyDiv w:val="1"/>
      <w:marLeft w:val="0"/>
      <w:marRight w:val="0"/>
      <w:marTop w:val="0"/>
      <w:marBottom w:val="0"/>
      <w:divBdr>
        <w:top w:val="none" w:sz="0" w:space="0" w:color="auto"/>
        <w:left w:val="none" w:sz="0" w:space="0" w:color="auto"/>
        <w:bottom w:val="none" w:sz="0" w:space="0" w:color="auto"/>
        <w:right w:val="none" w:sz="0" w:space="0" w:color="auto"/>
      </w:divBdr>
    </w:div>
    <w:div w:id="987247799">
      <w:bodyDiv w:val="1"/>
      <w:marLeft w:val="0"/>
      <w:marRight w:val="0"/>
      <w:marTop w:val="0"/>
      <w:marBottom w:val="0"/>
      <w:divBdr>
        <w:top w:val="none" w:sz="0" w:space="0" w:color="auto"/>
        <w:left w:val="none" w:sz="0" w:space="0" w:color="auto"/>
        <w:bottom w:val="none" w:sz="0" w:space="0" w:color="auto"/>
        <w:right w:val="none" w:sz="0" w:space="0" w:color="auto"/>
      </w:divBdr>
    </w:div>
    <w:div w:id="152686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ribune.fr/journalistes/mathias-thepot-1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ctu-ses-hatier.fr/IMG/pdf/plan_juncker.pdf" TargetMode="External"/><Relationship Id="rId4" Type="http://schemas.openxmlformats.org/officeDocument/2006/relationships/settings" Target="settings.xml"/><Relationship Id="rId9" Type="http://schemas.openxmlformats.org/officeDocument/2006/relationships/hyperlink" Target="http://www.latribune.fr/economie/union-europeenne/bce-mario-draghi-plus-que-jamais-dans-le-labyrinthe-533009.htm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5</Pages>
  <Words>1542</Words>
  <Characters>8484</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Joëlle</dc:creator>
  <cp:lastModifiedBy>Hachette Livre</cp:lastModifiedBy>
  <cp:revision>20</cp:revision>
  <cp:lastPrinted>2016-01-08T11:22:00Z</cp:lastPrinted>
  <dcterms:created xsi:type="dcterms:W3CDTF">2015-12-15T10:54:00Z</dcterms:created>
  <dcterms:modified xsi:type="dcterms:W3CDTF">2016-01-11T10:33:00Z</dcterms:modified>
</cp:coreProperties>
</file>