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32" w:rsidRDefault="001A0C32" w:rsidP="001A0C32">
      <w:pPr>
        <w:rPr>
          <w:rFonts w:ascii="Times New Roman" w:hAnsi="Times New Roman" w:cs="Times New Roman"/>
          <w:b/>
          <w:sz w:val="32"/>
          <w:szCs w:val="32"/>
        </w:rPr>
      </w:pPr>
    </w:p>
    <w:p w:rsidR="001A0C32" w:rsidRPr="001A0C32" w:rsidRDefault="001A0C32" w:rsidP="001A0C32">
      <w:pPr>
        <w:rPr>
          <w:rFonts w:ascii="Times New Roman" w:hAnsi="Times New Roman" w:cs="Times New Roman"/>
          <w:b/>
          <w:sz w:val="32"/>
          <w:szCs w:val="32"/>
        </w:rPr>
      </w:pPr>
      <w:r w:rsidRPr="001A0C32">
        <w:rPr>
          <w:rFonts w:ascii="Times New Roman" w:hAnsi="Times New Roman" w:cs="Times New Roman"/>
          <w:b/>
          <w:sz w:val="32"/>
          <w:szCs w:val="32"/>
        </w:rPr>
        <w:t>Contre la déflation ou les vertus d’une inflation modérée</w:t>
      </w:r>
    </w:p>
    <w:p w:rsidR="001A0C32" w:rsidRPr="001A0C32" w:rsidRDefault="001A0C32" w:rsidP="001A0C32">
      <w:pPr>
        <w:ind w:left="708" w:firstLine="708"/>
        <w:jc w:val="right"/>
        <w:rPr>
          <w:rFonts w:ascii="Times New Roman" w:hAnsi="Times New Roman" w:cs="Times New Roman"/>
          <w:sz w:val="24"/>
          <w:szCs w:val="24"/>
        </w:rPr>
      </w:pPr>
      <w:r w:rsidRPr="001A0C32">
        <w:rPr>
          <w:rFonts w:ascii="Times New Roman" w:hAnsi="Times New Roman" w:cs="Times New Roman"/>
          <w:sz w:val="24"/>
          <w:szCs w:val="24"/>
        </w:rPr>
        <w:t>Les idée</w:t>
      </w:r>
      <w:r>
        <w:rPr>
          <w:rFonts w:ascii="Times New Roman" w:hAnsi="Times New Roman" w:cs="Times New Roman"/>
          <w:sz w:val="24"/>
          <w:szCs w:val="24"/>
        </w:rPr>
        <w:t xml:space="preserve">s claires d’Agnès Bénassy-Quéré, </w:t>
      </w:r>
      <w:r w:rsidRPr="001A0C32">
        <w:rPr>
          <w:rFonts w:ascii="Times New Roman" w:hAnsi="Times New Roman" w:cs="Times New Roman"/>
          <w:i/>
          <w:sz w:val="24"/>
          <w:szCs w:val="24"/>
        </w:rPr>
        <w:t>France culture</w:t>
      </w:r>
      <w:r>
        <w:rPr>
          <w:rFonts w:ascii="Times New Roman" w:hAnsi="Times New Roman" w:cs="Times New Roman"/>
          <w:sz w:val="24"/>
          <w:szCs w:val="24"/>
        </w:rPr>
        <w:t xml:space="preserve">, </w:t>
      </w:r>
      <w:r w:rsidRPr="001A0C32">
        <w:rPr>
          <w:rFonts w:ascii="Times New Roman" w:hAnsi="Times New Roman" w:cs="Times New Roman"/>
          <w:sz w:val="24"/>
          <w:szCs w:val="24"/>
        </w:rPr>
        <w:t>7</w:t>
      </w:r>
      <w:r w:rsidR="00DB3D5C">
        <w:rPr>
          <w:rFonts w:ascii="Times New Roman" w:hAnsi="Times New Roman" w:cs="Times New Roman"/>
          <w:sz w:val="24"/>
          <w:szCs w:val="24"/>
        </w:rPr>
        <w:t> </w:t>
      </w:r>
      <w:r w:rsidRPr="001A0C32">
        <w:rPr>
          <w:rFonts w:ascii="Times New Roman" w:hAnsi="Times New Roman" w:cs="Times New Roman"/>
          <w:sz w:val="24"/>
          <w:szCs w:val="24"/>
        </w:rPr>
        <w:t>novembre 2013</w:t>
      </w:r>
    </w:p>
    <w:p w:rsidR="001A0C32" w:rsidRDefault="001A0C32" w:rsidP="001A0C32">
      <w:pPr>
        <w:rPr>
          <w:rFonts w:ascii="Times New Roman" w:hAnsi="Times New Roman" w:cs="Times New Roman"/>
          <w:b/>
          <w:sz w:val="24"/>
          <w:szCs w:val="24"/>
        </w:rPr>
      </w:pPr>
      <w:r w:rsidRPr="001A0C32">
        <w:rPr>
          <w:rFonts w:ascii="Times New Roman" w:hAnsi="Times New Roman" w:cs="Times New Roman"/>
          <w:b/>
          <w:sz w:val="24"/>
          <w:szCs w:val="24"/>
        </w:rPr>
        <w:t>On a coutume de déplorer l’inflation et de se réjouir du ralentissement des prix qui sauvegarderait le pouvoir d’achat. Pas si simple</w:t>
      </w:r>
      <w:r>
        <w:rPr>
          <w:rFonts w:ascii="Times New Roman" w:hAnsi="Times New Roman" w:cs="Times New Roman"/>
          <w:b/>
          <w:sz w:val="24"/>
          <w:szCs w:val="24"/>
        </w:rPr>
        <w:t xml:space="preserve"> ! Un peu d’inflation est souhaitable, </w:t>
      </w:r>
      <w:r w:rsidRPr="001A0C32">
        <w:rPr>
          <w:rFonts w:ascii="Times New Roman" w:hAnsi="Times New Roman" w:cs="Times New Roman"/>
          <w:b/>
          <w:sz w:val="24"/>
          <w:szCs w:val="24"/>
        </w:rPr>
        <w:t>explique Agnès Bénassy-Quéré.</w:t>
      </w:r>
    </w:p>
    <w:p w:rsidR="001A0C32" w:rsidRPr="001A0C32" w:rsidRDefault="001A0C32" w:rsidP="001A0C32">
      <w:pPr>
        <w:rPr>
          <w:rFonts w:ascii="Times New Roman" w:hAnsi="Times New Roman" w:cs="Times New Roman"/>
          <w:b/>
          <w:sz w:val="24"/>
          <w:szCs w:val="24"/>
        </w:rPr>
      </w:pPr>
    </w:p>
    <w:p w:rsidR="001A0C32" w:rsidRPr="005743C2"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5743C2">
        <w:rPr>
          <w:rFonts w:eastAsia="Times New Roman" w:cs="Times New Roman"/>
          <w:b/>
          <w:sz w:val="24"/>
          <w:szCs w:val="24"/>
          <w:lang w:eastAsia="fr-FR"/>
        </w:rPr>
        <w:t>Exploitation pédagogique</w:t>
      </w:r>
    </w:p>
    <w:p w:rsidR="00A02F86" w:rsidRDefault="00A02F86" w:rsidP="001A0C32">
      <w:pPr>
        <w:rPr>
          <w:i/>
        </w:rPr>
      </w:pPr>
      <w:r w:rsidRPr="00A02F86">
        <w:rPr>
          <w:i/>
        </w:rPr>
        <w:t>Cette sé</w:t>
      </w:r>
      <w:r>
        <w:rPr>
          <w:i/>
        </w:rPr>
        <w:t xml:space="preserve">quence peut intervenir après </w:t>
      </w:r>
      <w:r w:rsidR="00A42D1C">
        <w:rPr>
          <w:i/>
        </w:rPr>
        <w:t>la présentation des grands déséquilibres macroéconomiques au cours de laquelle est abordée l’inflation. Il s’agit ici, non pas de traiter de façon approfondie la question de la déflation (programme de Terminale) mais de discuter l’idée répandue selon laquelle moins il y a d’inflation, mieux une économie se porte.</w:t>
      </w:r>
    </w:p>
    <w:p w:rsidR="0062587D" w:rsidRPr="0062587D" w:rsidRDefault="0062587D" w:rsidP="001A0C32">
      <w:pPr>
        <w:rPr>
          <w:i/>
        </w:rPr>
      </w:pPr>
    </w:p>
    <w:p w:rsidR="001A0C32" w:rsidRPr="001A0C32" w:rsidRDefault="001A0C32" w:rsidP="001A0C32">
      <w:pPr>
        <w:rPr>
          <w:b/>
          <w:sz w:val="24"/>
          <w:szCs w:val="24"/>
        </w:rPr>
      </w:pPr>
      <w:r w:rsidRPr="001A0C32">
        <w:rPr>
          <w:b/>
          <w:sz w:val="24"/>
          <w:szCs w:val="24"/>
        </w:rPr>
        <w:t>Après avoir écouté l’émission, répondez aux questions.</w:t>
      </w:r>
    </w:p>
    <w:p w:rsidR="001A0C32" w:rsidRPr="001A0C32" w:rsidRDefault="001A0C32" w:rsidP="001A0C32">
      <w:pPr>
        <w:pStyle w:val="Paragraphedeliste"/>
        <w:numPr>
          <w:ilvl w:val="0"/>
          <w:numId w:val="6"/>
        </w:numPr>
        <w:rPr>
          <w:sz w:val="24"/>
          <w:szCs w:val="24"/>
        </w:rPr>
      </w:pPr>
      <w:r w:rsidRPr="001A0C32">
        <w:rPr>
          <w:sz w:val="24"/>
          <w:szCs w:val="24"/>
        </w:rPr>
        <w:t>Que signifie une inflation annuelle moyenne en zone euro de 0,7</w:t>
      </w:r>
      <w:r w:rsidR="00DB3D5C">
        <w:rPr>
          <w:sz w:val="24"/>
          <w:szCs w:val="24"/>
        </w:rPr>
        <w:t> </w:t>
      </w:r>
      <w:r w:rsidRPr="001A0C32">
        <w:rPr>
          <w:sz w:val="24"/>
          <w:szCs w:val="24"/>
        </w:rPr>
        <w:t>% en octobre</w:t>
      </w:r>
      <w:r w:rsidR="00DB3D5C">
        <w:rPr>
          <w:sz w:val="24"/>
          <w:szCs w:val="24"/>
        </w:rPr>
        <w:t> </w:t>
      </w:r>
      <w:r w:rsidRPr="001A0C32">
        <w:rPr>
          <w:sz w:val="24"/>
          <w:szCs w:val="24"/>
        </w:rPr>
        <w:t>2013 ? de 1,1</w:t>
      </w:r>
      <w:r w:rsidR="00DB3D5C">
        <w:rPr>
          <w:sz w:val="24"/>
          <w:szCs w:val="24"/>
        </w:rPr>
        <w:t> </w:t>
      </w:r>
      <w:r w:rsidRPr="001A0C32">
        <w:rPr>
          <w:sz w:val="24"/>
          <w:szCs w:val="24"/>
        </w:rPr>
        <w:t>% en septembre</w:t>
      </w:r>
      <w:r w:rsidR="00DB3D5C">
        <w:rPr>
          <w:sz w:val="24"/>
          <w:szCs w:val="24"/>
        </w:rPr>
        <w:t> </w:t>
      </w:r>
      <w:r w:rsidRPr="001A0C32">
        <w:rPr>
          <w:sz w:val="24"/>
          <w:szCs w:val="24"/>
        </w:rPr>
        <w:t>2013 ? Peut-on parler de baisse des prix en moyenne ?</w:t>
      </w:r>
    </w:p>
    <w:p w:rsidR="001A0C32" w:rsidRPr="001A0C32" w:rsidRDefault="001A0C32" w:rsidP="001A0C32">
      <w:pPr>
        <w:pStyle w:val="Paragraphedeliste"/>
        <w:numPr>
          <w:ilvl w:val="0"/>
          <w:numId w:val="6"/>
        </w:numPr>
        <w:rPr>
          <w:sz w:val="24"/>
          <w:szCs w:val="24"/>
        </w:rPr>
      </w:pPr>
      <w:r w:rsidRPr="001A0C32">
        <w:rPr>
          <w:sz w:val="24"/>
          <w:szCs w:val="24"/>
        </w:rPr>
        <w:t xml:space="preserve">Quels sont </w:t>
      </w:r>
      <w:r w:rsidRPr="00DB3D5C">
        <w:rPr>
          <w:i/>
          <w:sz w:val="24"/>
          <w:szCs w:val="24"/>
        </w:rPr>
        <w:t>a priori</w:t>
      </w:r>
      <w:r w:rsidRPr="001A0C32">
        <w:rPr>
          <w:sz w:val="24"/>
          <w:szCs w:val="24"/>
        </w:rPr>
        <w:t xml:space="preserve"> les bienfaits de la baisse de l’inflation ?</w:t>
      </w:r>
    </w:p>
    <w:p w:rsidR="001A0C32" w:rsidRPr="001A0C32" w:rsidRDefault="001A0C32" w:rsidP="001A0C32">
      <w:pPr>
        <w:pStyle w:val="Paragraphedeliste"/>
        <w:numPr>
          <w:ilvl w:val="0"/>
          <w:numId w:val="6"/>
        </w:numPr>
        <w:rPr>
          <w:sz w:val="24"/>
          <w:szCs w:val="24"/>
        </w:rPr>
      </w:pPr>
      <w:r w:rsidRPr="001A0C32">
        <w:rPr>
          <w:sz w:val="24"/>
          <w:szCs w:val="24"/>
        </w:rPr>
        <w:t>L’inflation en zone euro est une moyenne qui cache des disparités selon les secteurs et selon les pays : lesquelles ?</w:t>
      </w:r>
    </w:p>
    <w:p w:rsidR="001A0C32" w:rsidRPr="001A0C32" w:rsidRDefault="001A0C32" w:rsidP="001A0C32">
      <w:pPr>
        <w:pStyle w:val="Paragraphedeliste"/>
        <w:numPr>
          <w:ilvl w:val="0"/>
          <w:numId w:val="6"/>
        </w:numPr>
        <w:rPr>
          <w:sz w:val="24"/>
          <w:szCs w:val="24"/>
        </w:rPr>
      </w:pPr>
      <w:r w:rsidRPr="001A0C32">
        <w:rPr>
          <w:sz w:val="24"/>
          <w:szCs w:val="24"/>
        </w:rPr>
        <w:t>Pourquoi l’Espagne est-elle contrainte à une inflation plus faible que celle de l’Allemagne ?</w:t>
      </w:r>
    </w:p>
    <w:p w:rsidR="001A0C32" w:rsidRPr="001A0C32" w:rsidRDefault="001A0C32" w:rsidP="001A0C32">
      <w:pPr>
        <w:pStyle w:val="Paragraphedeliste"/>
        <w:numPr>
          <w:ilvl w:val="0"/>
          <w:numId w:val="6"/>
        </w:numPr>
        <w:rPr>
          <w:sz w:val="24"/>
          <w:szCs w:val="24"/>
        </w:rPr>
      </w:pPr>
      <w:r w:rsidRPr="001A0C32">
        <w:rPr>
          <w:sz w:val="24"/>
          <w:szCs w:val="24"/>
        </w:rPr>
        <w:t>Quel est l’objectif d’inflation affiché par la Banque centrale européenne ? Qu’en déduisez-vous quant aux effets de l’inflation ?</w:t>
      </w:r>
    </w:p>
    <w:p w:rsidR="001A0C32" w:rsidRPr="001A0C32" w:rsidRDefault="001A0C32" w:rsidP="001A0C32">
      <w:pPr>
        <w:pStyle w:val="Paragraphedeliste"/>
        <w:numPr>
          <w:ilvl w:val="0"/>
          <w:numId w:val="6"/>
        </w:numPr>
        <w:rPr>
          <w:sz w:val="24"/>
          <w:szCs w:val="24"/>
        </w:rPr>
      </w:pPr>
      <w:r w:rsidRPr="001A0C32">
        <w:rPr>
          <w:sz w:val="24"/>
          <w:szCs w:val="24"/>
        </w:rPr>
        <w:t>Quels sont les risques de la déflation ? Déduisez-en a contrario les avantages d’une inflation maîtrisée.</w:t>
      </w:r>
    </w:p>
    <w:p w:rsidR="001A0C32" w:rsidRDefault="001A0C32" w:rsidP="001A0C32">
      <w:pPr>
        <w:rPr>
          <w:rFonts w:cstheme="minorHAnsi"/>
          <w:sz w:val="24"/>
          <w:szCs w:val="24"/>
        </w:rPr>
      </w:pPr>
    </w:p>
    <w:p w:rsidR="001A0C32" w:rsidRDefault="001A0C32" w:rsidP="001A0C32">
      <w:pPr>
        <w:rPr>
          <w:rFonts w:cstheme="minorHAnsi"/>
          <w:sz w:val="24"/>
          <w:szCs w:val="24"/>
        </w:rPr>
      </w:pPr>
    </w:p>
    <w:p w:rsidR="001A0C32" w:rsidRDefault="001A0C32" w:rsidP="001A0C32">
      <w:pPr>
        <w:rPr>
          <w:rFonts w:cstheme="minorHAnsi"/>
          <w:sz w:val="24"/>
          <w:szCs w:val="24"/>
        </w:rPr>
      </w:pPr>
    </w:p>
    <w:p w:rsidR="001A0C32" w:rsidRDefault="001A0C32" w:rsidP="001A0C32">
      <w:pPr>
        <w:rPr>
          <w:rFonts w:cstheme="minorHAnsi"/>
          <w:sz w:val="24"/>
          <w:szCs w:val="24"/>
        </w:rPr>
      </w:pPr>
    </w:p>
    <w:p w:rsidR="001A0C32" w:rsidRDefault="001A0C32" w:rsidP="001A0C32">
      <w:pPr>
        <w:rPr>
          <w:rFonts w:cstheme="minorHAnsi"/>
          <w:sz w:val="24"/>
          <w:szCs w:val="24"/>
        </w:rPr>
      </w:pPr>
    </w:p>
    <w:p w:rsidR="001A0C32" w:rsidRDefault="001A0C32" w:rsidP="001A0C32">
      <w:pPr>
        <w:rPr>
          <w:rFonts w:cstheme="minorHAnsi"/>
          <w:sz w:val="24"/>
          <w:szCs w:val="24"/>
        </w:rPr>
      </w:pPr>
    </w:p>
    <w:p w:rsidR="001A0C32" w:rsidRDefault="001A0C32" w:rsidP="001A0C32">
      <w:pPr>
        <w:rPr>
          <w:rFonts w:cstheme="minorHAnsi"/>
          <w:sz w:val="24"/>
          <w:szCs w:val="24"/>
        </w:rPr>
      </w:pPr>
      <w:bookmarkStart w:id="0" w:name="_GoBack"/>
      <w:bookmarkEnd w:id="0"/>
    </w:p>
    <w:p w:rsidR="001A0C32" w:rsidRPr="005743C2"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t>Corrigé</w:t>
      </w:r>
    </w:p>
    <w:p w:rsidR="001A0C32" w:rsidRPr="00692E2D" w:rsidRDefault="001A0C32" w:rsidP="001A0C32">
      <w:pPr>
        <w:ind w:left="360"/>
        <w:rPr>
          <w:sz w:val="24"/>
          <w:szCs w:val="24"/>
        </w:rPr>
      </w:pPr>
    </w:p>
    <w:p w:rsidR="001A0C32" w:rsidRPr="00692E2D" w:rsidRDefault="001A0C32" w:rsidP="001A0C32">
      <w:pPr>
        <w:pStyle w:val="Paragraphedeliste"/>
        <w:numPr>
          <w:ilvl w:val="0"/>
          <w:numId w:val="7"/>
        </w:numPr>
        <w:rPr>
          <w:sz w:val="24"/>
          <w:szCs w:val="24"/>
        </w:rPr>
      </w:pPr>
      <w:r w:rsidRPr="00692E2D">
        <w:rPr>
          <w:sz w:val="24"/>
          <w:szCs w:val="24"/>
        </w:rPr>
        <w:t>Les prix à la consommation ont augmenté en moyenne de 0,7</w:t>
      </w:r>
      <w:r w:rsidR="00DB3D5C">
        <w:rPr>
          <w:sz w:val="24"/>
          <w:szCs w:val="24"/>
        </w:rPr>
        <w:t> </w:t>
      </w:r>
      <w:r w:rsidRPr="00692E2D">
        <w:rPr>
          <w:sz w:val="24"/>
          <w:szCs w:val="24"/>
        </w:rPr>
        <w:t>% dans la zone euro entre octobre</w:t>
      </w:r>
      <w:r w:rsidR="00DB3D5C">
        <w:rPr>
          <w:sz w:val="24"/>
          <w:szCs w:val="24"/>
        </w:rPr>
        <w:t> </w:t>
      </w:r>
      <w:r w:rsidRPr="00692E2D">
        <w:rPr>
          <w:sz w:val="24"/>
          <w:szCs w:val="24"/>
        </w:rPr>
        <w:t>2012 et octobre</w:t>
      </w:r>
      <w:r w:rsidR="00DB3D5C">
        <w:rPr>
          <w:sz w:val="24"/>
          <w:szCs w:val="24"/>
        </w:rPr>
        <w:t> </w:t>
      </w:r>
      <w:r w:rsidRPr="00692E2D">
        <w:rPr>
          <w:sz w:val="24"/>
          <w:szCs w:val="24"/>
        </w:rPr>
        <w:t>2013, alors qu’ils avaient augmenté de 1,1</w:t>
      </w:r>
      <w:r w:rsidR="00DB3D5C">
        <w:rPr>
          <w:sz w:val="24"/>
          <w:szCs w:val="24"/>
        </w:rPr>
        <w:t> </w:t>
      </w:r>
      <w:r w:rsidRPr="00692E2D">
        <w:rPr>
          <w:sz w:val="24"/>
          <w:szCs w:val="24"/>
        </w:rPr>
        <w:t>% entre septembre</w:t>
      </w:r>
      <w:r w:rsidR="00DB3D5C">
        <w:rPr>
          <w:sz w:val="24"/>
          <w:szCs w:val="24"/>
        </w:rPr>
        <w:t> </w:t>
      </w:r>
      <w:r w:rsidRPr="00692E2D">
        <w:rPr>
          <w:sz w:val="24"/>
          <w:szCs w:val="24"/>
        </w:rPr>
        <w:t>2012 et septembre</w:t>
      </w:r>
      <w:r w:rsidR="00DB3D5C">
        <w:rPr>
          <w:sz w:val="24"/>
          <w:szCs w:val="24"/>
        </w:rPr>
        <w:t> </w:t>
      </w:r>
      <w:r w:rsidRPr="00692E2D">
        <w:rPr>
          <w:sz w:val="24"/>
          <w:szCs w:val="24"/>
        </w:rPr>
        <w:t>2013. Il n’y a pas de baisse des prix en moyenne (même si certains prix peuvent baisser) mais ralentissement des prix, autrement dit désinflation ou baisse de l’inflation.</w:t>
      </w:r>
    </w:p>
    <w:p w:rsidR="001A0C32" w:rsidRPr="00692E2D" w:rsidRDefault="001A0C32" w:rsidP="001A0C32">
      <w:pPr>
        <w:pStyle w:val="Paragraphedeliste"/>
        <w:numPr>
          <w:ilvl w:val="0"/>
          <w:numId w:val="7"/>
        </w:numPr>
        <w:rPr>
          <w:sz w:val="24"/>
          <w:szCs w:val="24"/>
        </w:rPr>
      </w:pPr>
      <w:r w:rsidRPr="00692E2D">
        <w:rPr>
          <w:sz w:val="24"/>
          <w:szCs w:val="24"/>
        </w:rPr>
        <w:t>Le ralentissement des prix dans un contexte de stagnation des salaires permet des gains de pouvoir d’achat, d’autant plus que ce sont les prix des produits alimentaires qui ont ralenti et que le prix du pétrole a baissé, soit des postes importants dans la dépense des ménages et des consommations peu élastiques.</w:t>
      </w:r>
    </w:p>
    <w:p w:rsidR="001A0C32" w:rsidRPr="00692E2D" w:rsidRDefault="001A0C32" w:rsidP="001A0C32">
      <w:pPr>
        <w:pStyle w:val="Paragraphedeliste"/>
        <w:numPr>
          <w:ilvl w:val="0"/>
          <w:numId w:val="7"/>
        </w:numPr>
        <w:rPr>
          <w:sz w:val="24"/>
          <w:szCs w:val="24"/>
        </w:rPr>
      </w:pPr>
      <w:r w:rsidRPr="00692E2D">
        <w:rPr>
          <w:sz w:val="24"/>
          <w:szCs w:val="24"/>
        </w:rPr>
        <w:t>Il y a des disparités selon les secteurs : hausse des prix plus forte dans les services (+1,2</w:t>
      </w:r>
      <w:r w:rsidR="00DB3D5C">
        <w:rPr>
          <w:sz w:val="24"/>
          <w:szCs w:val="24"/>
        </w:rPr>
        <w:t> </w:t>
      </w:r>
      <w:r w:rsidRPr="00692E2D">
        <w:rPr>
          <w:sz w:val="24"/>
          <w:szCs w:val="24"/>
        </w:rPr>
        <w:t>%) que dans l’industrie (+</w:t>
      </w:r>
      <w:r w:rsidR="00DB3D5C">
        <w:rPr>
          <w:sz w:val="24"/>
          <w:szCs w:val="24"/>
        </w:rPr>
        <w:t> </w:t>
      </w:r>
      <w:r w:rsidRPr="00692E2D">
        <w:rPr>
          <w:sz w:val="24"/>
          <w:szCs w:val="24"/>
        </w:rPr>
        <w:t>0, 4</w:t>
      </w:r>
      <w:r w:rsidR="00DB3D5C">
        <w:rPr>
          <w:sz w:val="24"/>
          <w:szCs w:val="24"/>
        </w:rPr>
        <w:t> %</w:t>
      </w:r>
      <w:r w:rsidRPr="00692E2D">
        <w:rPr>
          <w:sz w:val="24"/>
          <w:szCs w:val="24"/>
        </w:rPr>
        <w:t>). Il y a aussi des divergences selon les pays : hausse des prix plus forte en Allemagne (+</w:t>
      </w:r>
      <w:r w:rsidR="00DB3D5C">
        <w:rPr>
          <w:sz w:val="24"/>
          <w:szCs w:val="24"/>
        </w:rPr>
        <w:t> </w:t>
      </w:r>
      <w:r w:rsidRPr="00692E2D">
        <w:rPr>
          <w:sz w:val="24"/>
          <w:szCs w:val="24"/>
        </w:rPr>
        <w:t>1,2</w:t>
      </w:r>
      <w:r w:rsidR="00DB3D5C">
        <w:rPr>
          <w:sz w:val="24"/>
          <w:szCs w:val="24"/>
        </w:rPr>
        <w:t> </w:t>
      </w:r>
      <w:r w:rsidRPr="00692E2D">
        <w:rPr>
          <w:sz w:val="24"/>
          <w:szCs w:val="24"/>
        </w:rPr>
        <w:t>%) qu’en Espagne (proche de 0</w:t>
      </w:r>
      <w:r w:rsidR="00DB3D5C">
        <w:rPr>
          <w:sz w:val="24"/>
          <w:szCs w:val="24"/>
        </w:rPr>
        <w:t> </w:t>
      </w:r>
      <w:r w:rsidRPr="00692E2D">
        <w:rPr>
          <w:sz w:val="24"/>
          <w:szCs w:val="24"/>
        </w:rPr>
        <w:t>%). Cela signifie que, derrière la moyenne d’inflation dans la zone euro, il y a des entreprises (dans l’industrie) et des pays (dans le Sud de la zone euro) qui sont exposés aux dangers de la déflation.</w:t>
      </w:r>
    </w:p>
    <w:p w:rsidR="001A0C32" w:rsidRPr="00692E2D" w:rsidRDefault="001A0C32" w:rsidP="001A0C32">
      <w:pPr>
        <w:pStyle w:val="Paragraphedeliste"/>
        <w:numPr>
          <w:ilvl w:val="0"/>
          <w:numId w:val="7"/>
        </w:numPr>
        <w:rPr>
          <w:sz w:val="24"/>
          <w:szCs w:val="24"/>
        </w:rPr>
      </w:pPr>
      <w:r w:rsidRPr="00692E2D">
        <w:rPr>
          <w:sz w:val="24"/>
          <w:szCs w:val="24"/>
        </w:rPr>
        <w:t>Pour rattraper son retard de compétitivité, impératif dans une économie ouverte</w:t>
      </w:r>
      <w:r w:rsidR="00DB3D5C">
        <w:rPr>
          <w:sz w:val="24"/>
          <w:szCs w:val="24"/>
        </w:rPr>
        <w:t>,</w:t>
      </w:r>
      <w:r w:rsidRPr="00692E2D">
        <w:rPr>
          <w:sz w:val="24"/>
          <w:szCs w:val="24"/>
        </w:rPr>
        <w:t xml:space="preserve"> donc exposée à la concurrence, et avec une monnaie commune, donc dans l’impossibilité de dévaluer.</w:t>
      </w:r>
    </w:p>
    <w:p w:rsidR="001A0C32" w:rsidRPr="00692E2D" w:rsidRDefault="001A0C32" w:rsidP="001A0C32">
      <w:pPr>
        <w:pStyle w:val="Paragraphedeliste"/>
        <w:numPr>
          <w:ilvl w:val="0"/>
          <w:numId w:val="7"/>
        </w:numPr>
        <w:rPr>
          <w:sz w:val="24"/>
          <w:szCs w:val="24"/>
        </w:rPr>
      </w:pPr>
      <w:r w:rsidRPr="00692E2D">
        <w:rPr>
          <w:sz w:val="24"/>
          <w:szCs w:val="24"/>
        </w:rPr>
        <w:t>La BCE a une cible de 2</w:t>
      </w:r>
      <w:r w:rsidR="00DB3D5C">
        <w:rPr>
          <w:sz w:val="24"/>
          <w:szCs w:val="24"/>
        </w:rPr>
        <w:t> </w:t>
      </w:r>
      <w:r w:rsidRPr="00692E2D">
        <w:rPr>
          <w:sz w:val="24"/>
          <w:szCs w:val="24"/>
        </w:rPr>
        <w:t>% d’inflation et non l’objectif d’une inflation nulle. Cela suggère que l’inflation, si elle est modérée, a certaines vertus.</w:t>
      </w:r>
    </w:p>
    <w:p w:rsidR="001A0C32" w:rsidRPr="00692E2D" w:rsidRDefault="001A0C32" w:rsidP="001A0C32">
      <w:pPr>
        <w:pStyle w:val="Paragraphedeliste"/>
        <w:numPr>
          <w:ilvl w:val="0"/>
          <w:numId w:val="7"/>
        </w:numPr>
        <w:rPr>
          <w:sz w:val="24"/>
          <w:szCs w:val="24"/>
        </w:rPr>
      </w:pPr>
      <w:r w:rsidRPr="00692E2D">
        <w:rPr>
          <w:sz w:val="24"/>
          <w:szCs w:val="24"/>
        </w:rPr>
        <w:t>Trois types de risques sont évoqués.</w:t>
      </w:r>
    </w:p>
    <w:p w:rsidR="001A0C32" w:rsidRPr="00692E2D" w:rsidRDefault="001A0C32" w:rsidP="001A0C32">
      <w:pPr>
        <w:pStyle w:val="Paragraphedeliste"/>
        <w:rPr>
          <w:sz w:val="24"/>
          <w:szCs w:val="24"/>
        </w:rPr>
      </w:pPr>
      <w:r w:rsidRPr="00692E2D">
        <w:rPr>
          <w:sz w:val="24"/>
          <w:szCs w:val="24"/>
        </w:rPr>
        <w:t>La déflation a des effets négatifs sur la consommation car elle incite à différer ses achats dans l’espoir que les prix diminuent.</w:t>
      </w:r>
    </w:p>
    <w:p w:rsidR="001A0C32" w:rsidRPr="00692E2D" w:rsidRDefault="001A0C32" w:rsidP="001A0C32">
      <w:pPr>
        <w:pStyle w:val="Paragraphedeliste"/>
        <w:rPr>
          <w:sz w:val="24"/>
          <w:szCs w:val="24"/>
        </w:rPr>
      </w:pPr>
      <w:r w:rsidRPr="00692E2D">
        <w:rPr>
          <w:sz w:val="24"/>
          <w:szCs w:val="24"/>
        </w:rPr>
        <w:t>Elle alourdit le poids de la dette des agents. Si les prix et les salaires diminuent, le remboursement du capital pèse davantage dans le revenu.</w:t>
      </w:r>
    </w:p>
    <w:p w:rsidR="001A0C32" w:rsidRPr="00692E2D" w:rsidRDefault="001A0C32" w:rsidP="001A0C32">
      <w:pPr>
        <w:pStyle w:val="Paragraphedeliste"/>
        <w:rPr>
          <w:sz w:val="24"/>
          <w:szCs w:val="24"/>
        </w:rPr>
      </w:pPr>
      <w:r w:rsidRPr="00692E2D">
        <w:rPr>
          <w:sz w:val="24"/>
          <w:szCs w:val="24"/>
        </w:rPr>
        <w:t>Elle pénalise l’investissement. En effet, pour investir, il faut en général emprunter. Le coût de l’emprunt est le taux d’intérêt. Ce qui compte pour les emprunteurs, c’est le taux d’intérêt réel (écart entre le taux d’intérêt nominal et le taux d’inflation). Une inflation proche de 0</w:t>
      </w:r>
      <w:r w:rsidR="00DB3D5C">
        <w:rPr>
          <w:sz w:val="24"/>
          <w:szCs w:val="24"/>
        </w:rPr>
        <w:t> </w:t>
      </w:r>
      <w:r w:rsidRPr="00692E2D">
        <w:rPr>
          <w:sz w:val="24"/>
          <w:szCs w:val="24"/>
        </w:rPr>
        <w:t>% annihile les effets positifs attendus de la baisse des taux d’intérêt nominaux.</w:t>
      </w:r>
    </w:p>
    <w:p w:rsidR="001A0C32" w:rsidRPr="00692E2D" w:rsidRDefault="001A0C32" w:rsidP="001A0C32">
      <w:pPr>
        <w:pStyle w:val="Paragraphedeliste"/>
        <w:rPr>
          <w:sz w:val="24"/>
          <w:szCs w:val="24"/>
        </w:rPr>
      </w:pPr>
      <w:r w:rsidRPr="00DB3D5C">
        <w:rPr>
          <w:i/>
          <w:sz w:val="24"/>
          <w:szCs w:val="24"/>
        </w:rPr>
        <w:t>A contrario</w:t>
      </w:r>
      <w:r w:rsidRPr="00692E2D">
        <w:rPr>
          <w:sz w:val="24"/>
          <w:szCs w:val="24"/>
        </w:rPr>
        <w:t xml:space="preserve">, on peut en déduire les vertus de l’inflation. </w:t>
      </w:r>
      <w:r w:rsidR="00DB3D5C">
        <w:rPr>
          <w:sz w:val="24"/>
          <w:szCs w:val="24"/>
        </w:rPr>
        <w:t>À</w:t>
      </w:r>
      <w:r w:rsidRPr="00692E2D">
        <w:rPr>
          <w:sz w:val="24"/>
          <w:szCs w:val="24"/>
        </w:rPr>
        <w:t xml:space="preserve"> condition qu’elle soit modérée, elle stimule la consommation (mieux vaut acheter aujourd’hui ce qui coûtera plus cher demain) et l’investissement (il est intéressant d’emprunter quand les taux d’intérêt réels sont diminués par l’inflation). Un peu plus d’inflation dans la zone euro serait donc bon pour la reprise de la croissance. De plus, l’inflation allège le poids de la dette, ce qui soulagerait les budgets des </w:t>
      </w:r>
      <w:r w:rsidR="00DB3D5C">
        <w:rPr>
          <w:sz w:val="24"/>
          <w:szCs w:val="24"/>
        </w:rPr>
        <w:t>É</w:t>
      </w:r>
      <w:r w:rsidRPr="00692E2D">
        <w:rPr>
          <w:sz w:val="24"/>
          <w:szCs w:val="24"/>
        </w:rPr>
        <w:t>tats.</w:t>
      </w:r>
    </w:p>
    <w:sectPr w:rsidR="001A0C32" w:rsidRPr="00692E2D" w:rsidSect="001A515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04" w:rsidRDefault="00A16704" w:rsidP="0049368B">
      <w:pPr>
        <w:spacing w:after="0" w:line="240" w:lineRule="auto"/>
      </w:pPr>
      <w:r>
        <w:separator/>
      </w:r>
    </w:p>
  </w:endnote>
  <w:endnote w:type="continuationSeparator" w:id="0">
    <w:p w:rsidR="00A16704" w:rsidRDefault="00A16704"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A74DA4">
        <w:pPr>
          <w:pStyle w:val="Pieddepage"/>
          <w:jc w:val="right"/>
        </w:pPr>
        <w:r>
          <w:fldChar w:fldCharType="begin"/>
        </w:r>
        <w:r w:rsidR="00881E1C">
          <w:instrText xml:space="preserve"> PAGE   \* MERGEFORMAT </w:instrText>
        </w:r>
        <w:r>
          <w:fldChar w:fldCharType="separate"/>
        </w:r>
        <w:r w:rsidR="00DB3D5C">
          <w:rPr>
            <w:noProof/>
          </w:rPr>
          <w:t>1</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04" w:rsidRDefault="00A16704" w:rsidP="0049368B">
      <w:pPr>
        <w:spacing w:after="0" w:line="240" w:lineRule="auto"/>
      </w:pPr>
      <w:r>
        <w:separator/>
      </w:r>
    </w:p>
  </w:footnote>
  <w:footnote w:type="continuationSeparator" w:id="0">
    <w:p w:rsidR="00A16704" w:rsidRDefault="00A16704"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DF141C"/>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63A9"/>
    <w:rsid w:val="0002250B"/>
    <w:rsid w:val="00025BC4"/>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7839"/>
    <w:rsid w:val="00081F41"/>
    <w:rsid w:val="00085E7B"/>
    <w:rsid w:val="000878B0"/>
    <w:rsid w:val="00087C23"/>
    <w:rsid w:val="000910C4"/>
    <w:rsid w:val="0009118B"/>
    <w:rsid w:val="000916F6"/>
    <w:rsid w:val="00091893"/>
    <w:rsid w:val="000928D8"/>
    <w:rsid w:val="000970C3"/>
    <w:rsid w:val="00097237"/>
    <w:rsid w:val="000A43B1"/>
    <w:rsid w:val="000A4ECA"/>
    <w:rsid w:val="000B3C71"/>
    <w:rsid w:val="000B6A7A"/>
    <w:rsid w:val="000B7414"/>
    <w:rsid w:val="000C3834"/>
    <w:rsid w:val="000C3EE5"/>
    <w:rsid w:val="000D0AD3"/>
    <w:rsid w:val="000D1C1E"/>
    <w:rsid w:val="000D1FBC"/>
    <w:rsid w:val="000D7FB1"/>
    <w:rsid w:val="000E3CBB"/>
    <w:rsid w:val="000E54AC"/>
    <w:rsid w:val="000F0088"/>
    <w:rsid w:val="000F0820"/>
    <w:rsid w:val="000F1B44"/>
    <w:rsid w:val="00102B9F"/>
    <w:rsid w:val="00105DEC"/>
    <w:rsid w:val="001110B1"/>
    <w:rsid w:val="00115809"/>
    <w:rsid w:val="00116229"/>
    <w:rsid w:val="001164E5"/>
    <w:rsid w:val="00120E43"/>
    <w:rsid w:val="00121EE7"/>
    <w:rsid w:val="00124FCB"/>
    <w:rsid w:val="001315D9"/>
    <w:rsid w:val="00140044"/>
    <w:rsid w:val="00140E66"/>
    <w:rsid w:val="0014624F"/>
    <w:rsid w:val="00150299"/>
    <w:rsid w:val="001550DF"/>
    <w:rsid w:val="00160C47"/>
    <w:rsid w:val="00161A8B"/>
    <w:rsid w:val="00165052"/>
    <w:rsid w:val="00165100"/>
    <w:rsid w:val="001658C1"/>
    <w:rsid w:val="001662C9"/>
    <w:rsid w:val="00167354"/>
    <w:rsid w:val="00177C9E"/>
    <w:rsid w:val="00186E16"/>
    <w:rsid w:val="00191996"/>
    <w:rsid w:val="00191E13"/>
    <w:rsid w:val="001A02D0"/>
    <w:rsid w:val="001A06D4"/>
    <w:rsid w:val="001A0C32"/>
    <w:rsid w:val="001A2C24"/>
    <w:rsid w:val="001A2E37"/>
    <w:rsid w:val="001A5150"/>
    <w:rsid w:val="001A5274"/>
    <w:rsid w:val="001B4674"/>
    <w:rsid w:val="001B5357"/>
    <w:rsid w:val="001B550B"/>
    <w:rsid w:val="001B60D3"/>
    <w:rsid w:val="001C0168"/>
    <w:rsid w:val="001C09D3"/>
    <w:rsid w:val="001C2A82"/>
    <w:rsid w:val="001D23D1"/>
    <w:rsid w:val="001D2B67"/>
    <w:rsid w:val="001D4F6F"/>
    <w:rsid w:val="001D6AE8"/>
    <w:rsid w:val="001E0BCF"/>
    <w:rsid w:val="001E5DAE"/>
    <w:rsid w:val="001E7E26"/>
    <w:rsid w:val="001F779E"/>
    <w:rsid w:val="001F7807"/>
    <w:rsid w:val="002021EB"/>
    <w:rsid w:val="00204B36"/>
    <w:rsid w:val="0021294B"/>
    <w:rsid w:val="00215556"/>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CE8"/>
    <w:rsid w:val="0027349C"/>
    <w:rsid w:val="0027397D"/>
    <w:rsid w:val="00276400"/>
    <w:rsid w:val="002767B3"/>
    <w:rsid w:val="00294107"/>
    <w:rsid w:val="00294747"/>
    <w:rsid w:val="002970E8"/>
    <w:rsid w:val="002A07E2"/>
    <w:rsid w:val="002A2F87"/>
    <w:rsid w:val="002B06E1"/>
    <w:rsid w:val="002B2148"/>
    <w:rsid w:val="002B3C67"/>
    <w:rsid w:val="002B4A9A"/>
    <w:rsid w:val="002B4C9A"/>
    <w:rsid w:val="002B59D0"/>
    <w:rsid w:val="002C7E42"/>
    <w:rsid w:val="002D3051"/>
    <w:rsid w:val="002D64B1"/>
    <w:rsid w:val="002D75E9"/>
    <w:rsid w:val="002E63FC"/>
    <w:rsid w:val="002F1371"/>
    <w:rsid w:val="002F2388"/>
    <w:rsid w:val="002F29A6"/>
    <w:rsid w:val="002F3AA8"/>
    <w:rsid w:val="00310217"/>
    <w:rsid w:val="0031042D"/>
    <w:rsid w:val="00312DFE"/>
    <w:rsid w:val="00315DAC"/>
    <w:rsid w:val="003212AE"/>
    <w:rsid w:val="00321C0D"/>
    <w:rsid w:val="003233F0"/>
    <w:rsid w:val="003312D8"/>
    <w:rsid w:val="00331369"/>
    <w:rsid w:val="00332E12"/>
    <w:rsid w:val="003334D9"/>
    <w:rsid w:val="003346B1"/>
    <w:rsid w:val="003405B6"/>
    <w:rsid w:val="003409FC"/>
    <w:rsid w:val="00341E00"/>
    <w:rsid w:val="00342BAE"/>
    <w:rsid w:val="00345D9C"/>
    <w:rsid w:val="00350CE4"/>
    <w:rsid w:val="00352536"/>
    <w:rsid w:val="00354618"/>
    <w:rsid w:val="00372A84"/>
    <w:rsid w:val="00376312"/>
    <w:rsid w:val="00380472"/>
    <w:rsid w:val="003809CC"/>
    <w:rsid w:val="0038403C"/>
    <w:rsid w:val="00385921"/>
    <w:rsid w:val="00395214"/>
    <w:rsid w:val="00396564"/>
    <w:rsid w:val="003A06E0"/>
    <w:rsid w:val="003A084E"/>
    <w:rsid w:val="003A0DA7"/>
    <w:rsid w:val="003A5CB2"/>
    <w:rsid w:val="003A6C15"/>
    <w:rsid w:val="003A7326"/>
    <w:rsid w:val="003A7A33"/>
    <w:rsid w:val="003B7F0A"/>
    <w:rsid w:val="003C11B5"/>
    <w:rsid w:val="003C5266"/>
    <w:rsid w:val="003D5C8B"/>
    <w:rsid w:val="003D79DE"/>
    <w:rsid w:val="003E144B"/>
    <w:rsid w:val="003E3C73"/>
    <w:rsid w:val="003F213C"/>
    <w:rsid w:val="003F2AEB"/>
    <w:rsid w:val="003F553F"/>
    <w:rsid w:val="003F70CA"/>
    <w:rsid w:val="003F7AA2"/>
    <w:rsid w:val="00405B0F"/>
    <w:rsid w:val="00407A83"/>
    <w:rsid w:val="0041168F"/>
    <w:rsid w:val="00412974"/>
    <w:rsid w:val="00414E08"/>
    <w:rsid w:val="0041569C"/>
    <w:rsid w:val="00423125"/>
    <w:rsid w:val="004234DF"/>
    <w:rsid w:val="00424E55"/>
    <w:rsid w:val="0042526A"/>
    <w:rsid w:val="00436902"/>
    <w:rsid w:val="0045140B"/>
    <w:rsid w:val="0045244E"/>
    <w:rsid w:val="00453225"/>
    <w:rsid w:val="0047219C"/>
    <w:rsid w:val="0047300E"/>
    <w:rsid w:val="00473409"/>
    <w:rsid w:val="00475AA0"/>
    <w:rsid w:val="00477660"/>
    <w:rsid w:val="00477FFB"/>
    <w:rsid w:val="00483669"/>
    <w:rsid w:val="0048462E"/>
    <w:rsid w:val="0048599A"/>
    <w:rsid w:val="00486746"/>
    <w:rsid w:val="00486D9A"/>
    <w:rsid w:val="0049116B"/>
    <w:rsid w:val="0049368B"/>
    <w:rsid w:val="004949B6"/>
    <w:rsid w:val="004954A8"/>
    <w:rsid w:val="00496A4D"/>
    <w:rsid w:val="004A132E"/>
    <w:rsid w:val="004A5772"/>
    <w:rsid w:val="004B15BD"/>
    <w:rsid w:val="004B29FB"/>
    <w:rsid w:val="004B523E"/>
    <w:rsid w:val="004B540D"/>
    <w:rsid w:val="004B6DF1"/>
    <w:rsid w:val="004C103B"/>
    <w:rsid w:val="004C3C71"/>
    <w:rsid w:val="004C69FE"/>
    <w:rsid w:val="004D04D1"/>
    <w:rsid w:val="004D3481"/>
    <w:rsid w:val="004D612E"/>
    <w:rsid w:val="004D6B43"/>
    <w:rsid w:val="004E1FA7"/>
    <w:rsid w:val="004E2D02"/>
    <w:rsid w:val="004E408B"/>
    <w:rsid w:val="004E45DC"/>
    <w:rsid w:val="004E595C"/>
    <w:rsid w:val="004E6F40"/>
    <w:rsid w:val="004F0D0C"/>
    <w:rsid w:val="004F2683"/>
    <w:rsid w:val="004F2F84"/>
    <w:rsid w:val="004F5C93"/>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3C2"/>
    <w:rsid w:val="005749B1"/>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7EED"/>
    <w:rsid w:val="005E2EDB"/>
    <w:rsid w:val="005F17E6"/>
    <w:rsid w:val="005F2185"/>
    <w:rsid w:val="005F222F"/>
    <w:rsid w:val="005F3079"/>
    <w:rsid w:val="005F42C1"/>
    <w:rsid w:val="005F4603"/>
    <w:rsid w:val="005F4C1B"/>
    <w:rsid w:val="006001E8"/>
    <w:rsid w:val="00600F49"/>
    <w:rsid w:val="00601D77"/>
    <w:rsid w:val="00602903"/>
    <w:rsid w:val="00613E09"/>
    <w:rsid w:val="0061596C"/>
    <w:rsid w:val="00615F0E"/>
    <w:rsid w:val="00616217"/>
    <w:rsid w:val="006239A5"/>
    <w:rsid w:val="0062587D"/>
    <w:rsid w:val="00625DBE"/>
    <w:rsid w:val="006261B4"/>
    <w:rsid w:val="0062624A"/>
    <w:rsid w:val="006329B6"/>
    <w:rsid w:val="00635AD0"/>
    <w:rsid w:val="0063711B"/>
    <w:rsid w:val="00641023"/>
    <w:rsid w:val="0064270B"/>
    <w:rsid w:val="0064318D"/>
    <w:rsid w:val="0064335D"/>
    <w:rsid w:val="006442BD"/>
    <w:rsid w:val="006518B5"/>
    <w:rsid w:val="0065563A"/>
    <w:rsid w:val="006560E9"/>
    <w:rsid w:val="00661967"/>
    <w:rsid w:val="00661C53"/>
    <w:rsid w:val="00664562"/>
    <w:rsid w:val="00676F8D"/>
    <w:rsid w:val="006804B4"/>
    <w:rsid w:val="00683F7C"/>
    <w:rsid w:val="00690166"/>
    <w:rsid w:val="006937A9"/>
    <w:rsid w:val="006955E1"/>
    <w:rsid w:val="00696114"/>
    <w:rsid w:val="006A4626"/>
    <w:rsid w:val="006A58A9"/>
    <w:rsid w:val="006A6BFD"/>
    <w:rsid w:val="006B0926"/>
    <w:rsid w:val="006B4E76"/>
    <w:rsid w:val="006C003B"/>
    <w:rsid w:val="006C055B"/>
    <w:rsid w:val="006C6CB7"/>
    <w:rsid w:val="006D111C"/>
    <w:rsid w:val="006E4259"/>
    <w:rsid w:val="006E4A91"/>
    <w:rsid w:val="006E52BC"/>
    <w:rsid w:val="006E735D"/>
    <w:rsid w:val="006F1805"/>
    <w:rsid w:val="006F4C51"/>
    <w:rsid w:val="006F5368"/>
    <w:rsid w:val="00701955"/>
    <w:rsid w:val="00701E53"/>
    <w:rsid w:val="00703072"/>
    <w:rsid w:val="007045D2"/>
    <w:rsid w:val="0071214D"/>
    <w:rsid w:val="00725F0D"/>
    <w:rsid w:val="007302BB"/>
    <w:rsid w:val="00735B9F"/>
    <w:rsid w:val="00740B75"/>
    <w:rsid w:val="00741E2C"/>
    <w:rsid w:val="0074262D"/>
    <w:rsid w:val="007437CC"/>
    <w:rsid w:val="00747681"/>
    <w:rsid w:val="00747ACD"/>
    <w:rsid w:val="00752D58"/>
    <w:rsid w:val="00757D1F"/>
    <w:rsid w:val="0076075A"/>
    <w:rsid w:val="0076214E"/>
    <w:rsid w:val="0077397E"/>
    <w:rsid w:val="00775473"/>
    <w:rsid w:val="00787DA4"/>
    <w:rsid w:val="00790FF1"/>
    <w:rsid w:val="00791780"/>
    <w:rsid w:val="0079295C"/>
    <w:rsid w:val="007929FE"/>
    <w:rsid w:val="00793350"/>
    <w:rsid w:val="0079495C"/>
    <w:rsid w:val="00797CB0"/>
    <w:rsid w:val="007A1385"/>
    <w:rsid w:val="007A1B0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6B79"/>
    <w:rsid w:val="007F4EF9"/>
    <w:rsid w:val="007F62F6"/>
    <w:rsid w:val="00800F19"/>
    <w:rsid w:val="008013EA"/>
    <w:rsid w:val="00802C76"/>
    <w:rsid w:val="0080596A"/>
    <w:rsid w:val="0081737D"/>
    <w:rsid w:val="00820AF1"/>
    <w:rsid w:val="00822B77"/>
    <w:rsid w:val="008245E4"/>
    <w:rsid w:val="00826B11"/>
    <w:rsid w:val="00830755"/>
    <w:rsid w:val="00831BA6"/>
    <w:rsid w:val="00831FE0"/>
    <w:rsid w:val="00832676"/>
    <w:rsid w:val="00846B40"/>
    <w:rsid w:val="0084720D"/>
    <w:rsid w:val="00860D4F"/>
    <w:rsid w:val="008635FE"/>
    <w:rsid w:val="00863B8A"/>
    <w:rsid w:val="00870FA5"/>
    <w:rsid w:val="00871D01"/>
    <w:rsid w:val="008740EF"/>
    <w:rsid w:val="00880579"/>
    <w:rsid w:val="00881E1C"/>
    <w:rsid w:val="008827C8"/>
    <w:rsid w:val="008834DA"/>
    <w:rsid w:val="00890840"/>
    <w:rsid w:val="00893B51"/>
    <w:rsid w:val="00894CE0"/>
    <w:rsid w:val="00896CED"/>
    <w:rsid w:val="008A0D44"/>
    <w:rsid w:val="008A353A"/>
    <w:rsid w:val="008A3DDE"/>
    <w:rsid w:val="008A4592"/>
    <w:rsid w:val="008B29AF"/>
    <w:rsid w:val="008B2E34"/>
    <w:rsid w:val="008B42E5"/>
    <w:rsid w:val="008B459B"/>
    <w:rsid w:val="008C4EC3"/>
    <w:rsid w:val="008D288B"/>
    <w:rsid w:val="008D3E6D"/>
    <w:rsid w:val="008D4835"/>
    <w:rsid w:val="008D7C6C"/>
    <w:rsid w:val="008E070D"/>
    <w:rsid w:val="008E14D4"/>
    <w:rsid w:val="008E1A69"/>
    <w:rsid w:val="008E632A"/>
    <w:rsid w:val="008E7AAB"/>
    <w:rsid w:val="008F0B3C"/>
    <w:rsid w:val="008F10EE"/>
    <w:rsid w:val="008F460F"/>
    <w:rsid w:val="009023AB"/>
    <w:rsid w:val="009033D1"/>
    <w:rsid w:val="00904A63"/>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6192C"/>
    <w:rsid w:val="00963288"/>
    <w:rsid w:val="0096407D"/>
    <w:rsid w:val="009671A5"/>
    <w:rsid w:val="009676B3"/>
    <w:rsid w:val="00970AE0"/>
    <w:rsid w:val="00973144"/>
    <w:rsid w:val="00974648"/>
    <w:rsid w:val="00975B0B"/>
    <w:rsid w:val="00977DF1"/>
    <w:rsid w:val="00980EFA"/>
    <w:rsid w:val="00984CD1"/>
    <w:rsid w:val="009863E0"/>
    <w:rsid w:val="00990B6C"/>
    <w:rsid w:val="009917D8"/>
    <w:rsid w:val="00992A26"/>
    <w:rsid w:val="00992BA5"/>
    <w:rsid w:val="00993F4D"/>
    <w:rsid w:val="00994575"/>
    <w:rsid w:val="00994DC1"/>
    <w:rsid w:val="00997E0A"/>
    <w:rsid w:val="009A090F"/>
    <w:rsid w:val="009A429D"/>
    <w:rsid w:val="009A615A"/>
    <w:rsid w:val="009B42C8"/>
    <w:rsid w:val="009B6395"/>
    <w:rsid w:val="009C0C5F"/>
    <w:rsid w:val="009C322C"/>
    <w:rsid w:val="009C3BDF"/>
    <w:rsid w:val="009C412E"/>
    <w:rsid w:val="009C4D2A"/>
    <w:rsid w:val="009C7C21"/>
    <w:rsid w:val="009D1678"/>
    <w:rsid w:val="009D174B"/>
    <w:rsid w:val="009D1954"/>
    <w:rsid w:val="009D3541"/>
    <w:rsid w:val="009E2ABB"/>
    <w:rsid w:val="009E36AF"/>
    <w:rsid w:val="009E4579"/>
    <w:rsid w:val="009E6FCB"/>
    <w:rsid w:val="009F3822"/>
    <w:rsid w:val="009F3CD3"/>
    <w:rsid w:val="00A0026D"/>
    <w:rsid w:val="00A01DFB"/>
    <w:rsid w:val="00A02420"/>
    <w:rsid w:val="00A02F86"/>
    <w:rsid w:val="00A04774"/>
    <w:rsid w:val="00A07C2B"/>
    <w:rsid w:val="00A10EB9"/>
    <w:rsid w:val="00A15F6A"/>
    <w:rsid w:val="00A1600B"/>
    <w:rsid w:val="00A16704"/>
    <w:rsid w:val="00A17D9C"/>
    <w:rsid w:val="00A228D2"/>
    <w:rsid w:val="00A24DCB"/>
    <w:rsid w:val="00A255C5"/>
    <w:rsid w:val="00A3002A"/>
    <w:rsid w:val="00A300B4"/>
    <w:rsid w:val="00A30108"/>
    <w:rsid w:val="00A306DC"/>
    <w:rsid w:val="00A309B6"/>
    <w:rsid w:val="00A31DA4"/>
    <w:rsid w:val="00A41CBA"/>
    <w:rsid w:val="00A42D1C"/>
    <w:rsid w:val="00A62A6D"/>
    <w:rsid w:val="00A65CB9"/>
    <w:rsid w:val="00A66346"/>
    <w:rsid w:val="00A67FFD"/>
    <w:rsid w:val="00A73F21"/>
    <w:rsid w:val="00A74DA4"/>
    <w:rsid w:val="00A80BBD"/>
    <w:rsid w:val="00A814FB"/>
    <w:rsid w:val="00A827C7"/>
    <w:rsid w:val="00A83362"/>
    <w:rsid w:val="00A83937"/>
    <w:rsid w:val="00A915B1"/>
    <w:rsid w:val="00A94BF8"/>
    <w:rsid w:val="00AA0AD4"/>
    <w:rsid w:val="00AA1D5D"/>
    <w:rsid w:val="00AA2BA5"/>
    <w:rsid w:val="00AA608F"/>
    <w:rsid w:val="00AB076B"/>
    <w:rsid w:val="00AB5FB1"/>
    <w:rsid w:val="00AC0407"/>
    <w:rsid w:val="00AC3EE7"/>
    <w:rsid w:val="00AC75F0"/>
    <w:rsid w:val="00AC77B3"/>
    <w:rsid w:val="00AE0673"/>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7143"/>
    <w:rsid w:val="00B6301C"/>
    <w:rsid w:val="00B63F94"/>
    <w:rsid w:val="00B71111"/>
    <w:rsid w:val="00B733B3"/>
    <w:rsid w:val="00B74E31"/>
    <w:rsid w:val="00B76260"/>
    <w:rsid w:val="00B85FF9"/>
    <w:rsid w:val="00B87FEB"/>
    <w:rsid w:val="00B91F4B"/>
    <w:rsid w:val="00BA1918"/>
    <w:rsid w:val="00BA72AC"/>
    <w:rsid w:val="00BB1AB6"/>
    <w:rsid w:val="00BB3731"/>
    <w:rsid w:val="00BB77EB"/>
    <w:rsid w:val="00BC3D6B"/>
    <w:rsid w:val="00BC4B17"/>
    <w:rsid w:val="00BC586C"/>
    <w:rsid w:val="00BC61D7"/>
    <w:rsid w:val="00BD037A"/>
    <w:rsid w:val="00BD0B97"/>
    <w:rsid w:val="00BD4DB2"/>
    <w:rsid w:val="00BD5915"/>
    <w:rsid w:val="00BD600D"/>
    <w:rsid w:val="00BD6BC2"/>
    <w:rsid w:val="00BE2834"/>
    <w:rsid w:val="00BE3087"/>
    <w:rsid w:val="00BE641F"/>
    <w:rsid w:val="00BF5B6E"/>
    <w:rsid w:val="00BF5CB2"/>
    <w:rsid w:val="00BF61B3"/>
    <w:rsid w:val="00BF77FA"/>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40BAB"/>
    <w:rsid w:val="00C50605"/>
    <w:rsid w:val="00C51A5C"/>
    <w:rsid w:val="00C51E00"/>
    <w:rsid w:val="00C52087"/>
    <w:rsid w:val="00C5447E"/>
    <w:rsid w:val="00C647C0"/>
    <w:rsid w:val="00C651F4"/>
    <w:rsid w:val="00C65410"/>
    <w:rsid w:val="00C65EC2"/>
    <w:rsid w:val="00C67F3E"/>
    <w:rsid w:val="00C71382"/>
    <w:rsid w:val="00C73A53"/>
    <w:rsid w:val="00C749BB"/>
    <w:rsid w:val="00C759F2"/>
    <w:rsid w:val="00C85E01"/>
    <w:rsid w:val="00C872D1"/>
    <w:rsid w:val="00C902A6"/>
    <w:rsid w:val="00C92E4C"/>
    <w:rsid w:val="00C9373B"/>
    <w:rsid w:val="00C949C0"/>
    <w:rsid w:val="00C97271"/>
    <w:rsid w:val="00CB3376"/>
    <w:rsid w:val="00CB3F06"/>
    <w:rsid w:val="00CB42F5"/>
    <w:rsid w:val="00CB4BB9"/>
    <w:rsid w:val="00CB594F"/>
    <w:rsid w:val="00CB5BA1"/>
    <w:rsid w:val="00CC0D2F"/>
    <w:rsid w:val="00CC1A6F"/>
    <w:rsid w:val="00CC74B1"/>
    <w:rsid w:val="00CD0693"/>
    <w:rsid w:val="00CD2218"/>
    <w:rsid w:val="00CD38C3"/>
    <w:rsid w:val="00CD6122"/>
    <w:rsid w:val="00D00791"/>
    <w:rsid w:val="00D036C6"/>
    <w:rsid w:val="00D06DB2"/>
    <w:rsid w:val="00D07810"/>
    <w:rsid w:val="00D07B29"/>
    <w:rsid w:val="00D11BAF"/>
    <w:rsid w:val="00D131FD"/>
    <w:rsid w:val="00D26E3E"/>
    <w:rsid w:val="00D34DC9"/>
    <w:rsid w:val="00D36EAE"/>
    <w:rsid w:val="00D4147D"/>
    <w:rsid w:val="00D44A4B"/>
    <w:rsid w:val="00D4549F"/>
    <w:rsid w:val="00D462E7"/>
    <w:rsid w:val="00D47BA7"/>
    <w:rsid w:val="00D51321"/>
    <w:rsid w:val="00D54082"/>
    <w:rsid w:val="00D5489E"/>
    <w:rsid w:val="00D54CA6"/>
    <w:rsid w:val="00D63DB6"/>
    <w:rsid w:val="00D71B1E"/>
    <w:rsid w:val="00D80037"/>
    <w:rsid w:val="00D8696E"/>
    <w:rsid w:val="00D87D41"/>
    <w:rsid w:val="00D87EF4"/>
    <w:rsid w:val="00D968C3"/>
    <w:rsid w:val="00DA0622"/>
    <w:rsid w:val="00DA155E"/>
    <w:rsid w:val="00DA285D"/>
    <w:rsid w:val="00DA3F96"/>
    <w:rsid w:val="00DA6670"/>
    <w:rsid w:val="00DB3D5C"/>
    <w:rsid w:val="00DB6754"/>
    <w:rsid w:val="00DC1A41"/>
    <w:rsid w:val="00DC2400"/>
    <w:rsid w:val="00DC600F"/>
    <w:rsid w:val="00DD4168"/>
    <w:rsid w:val="00DD6133"/>
    <w:rsid w:val="00DE1715"/>
    <w:rsid w:val="00DE22DD"/>
    <w:rsid w:val="00DE6858"/>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3B83"/>
    <w:rsid w:val="00E90126"/>
    <w:rsid w:val="00E924FE"/>
    <w:rsid w:val="00E94575"/>
    <w:rsid w:val="00E97ADA"/>
    <w:rsid w:val="00EA0F08"/>
    <w:rsid w:val="00EC1353"/>
    <w:rsid w:val="00EC1466"/>
    <w:rsid w:val="00EC6BBE"/>
    <w:rsid w:val="00ED3B4A"/>
    <w:rsid w:val="00ED3C0D"/>
    <w:rsid w:val="00ED7AE3"/>
    <w:rsid w:val="00EE0FF9"/>
    <w:rsid w:val="00EE1AFE"/>
    <w:rsid w:val="00EE77F8"/>
    <w:rsid w:val="00EF0176"/>
    <w:rsid w:val="00EF1B69"/>
    <w:rsid w:val="00EF1F12"/>
    <w:rsid w:val="00F00DD0"/>
    <w:rsid w:val="00F00FB0"/>
    <w:rsid w:val="00F05F14"/>
    <w:rsid w:val="00F110A1"/>
    <w:rsid w:val="00F154FC"/>
    <w:rsid w:val="00F172B7"/>
    <w:rsid w:val="00F177CF"/>
    <w:rsid w:val="00F2347D"/>
    <w:rsid w:val="00F23511"/>
    <w:rsid w:val="00F26A60"/>
    <w:rsid w:val="00F306EF"/>
    <w:rsid w:val="00F33209"/>
    <w:rsid w:val="00F357AA"/>
    <w:rsid w:val="00F35FCD"/>
    <w:rsid w:val="00F36C50"/>
    <w:rsid w:val="00F402DD"/>
    <w:rsid w:val="00F40954"/>
    <w:rsid w:val="00F43038"/>
    <w:rsid w:val="00F448CC"/>
    <w:rsid w:val="00F46E9B"/>
    <w:rsid w:val="00F47188"/>
    <w:rsid w:val="00F53CF0"/>
    <w:rsid w:val="00F53ED4"/>
    <w:rsid w:val="00F53F99"/>
    <w:rsid w:val="00F54D09"/>
    <w:rsid w:val="00F5598F"/>
    <w:rsid w:val="00F56261"/>
    <w:rsid w:val="00F574E6"/>
    <w:rsid w:val="00F57550"/>
    <w:rsid w:val="00F65A65"/>
    <w:rsid w:val="00F706F4"/>
    <w:rsid w:val="00F70B14"/>
    <w:rsid w:val="00F7419A"/>
    <w:rsid w:val="00F83FBF"/>
    <w:rsid w:val="00F845DA"/>
    <w:rsid w:val="00F91C60"/>
    <w:rsid w:val="00F92155"/>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A4"/>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628</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14</cp:revision>
  <cp:lastPrinted>2013-11-21T10:41:00Z</cp:lastPrinted>
  <dcterms:created xsi:type="dcterms:W3CDTF">2013-04-18T08:40:00Z</dcterms:created>
  <dcterms:modified xsi:type="dcterms:W3CDTF">2013-11-21T10:42:00Z</dcterms:modified>
</cp:coreProperties>
</file>