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2C" w:rsidRDefault="00B24B2C" w:rsidP="00B24B2C">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p>
    <w:p w:rsidR="002D27D3" w:rsidRDefault="002D27D3" w:rsidP="002D27D3">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2D27D3">
        <w:rPr>
          <w:rFonts w:ascii="Times New Roman" w:eastAsia="Times New Roman" w:hAnsi="Times New Roman" w:cs="Times New Roman"/>
          <w:b/>
          <w:bCs/>
          <w:kern w:val="36"/>
          <w:sz w:val="28"/>
          <w:szCs w:val="28"/>
          <w:lang w:eastAsia="fr-FR"/>
        </w:rPr>
        <w:t>Comment lutter contre le changement climatique</w:t>
      </w:r>
      <w:r w:rsidR="00AB0438">
        <w:rPr>
          <w:rFonts w:ascii="Times New Roman" w:eastAsia="Times New Roman" w:hAnsi="Times New Roman" w:cs="Times New Roman"/>
          <w:b/>
          <w:bCs/>
          <w:kern w:val="36"/>
          <w:sz w:val="28"/>
          <w:szCs w:val="28"/>
          <w:lang w:eastAsia="fr-FR"/>
        </w:rPr>
        <w:t> ?</w:t>
      </w:r>
    </w:p>
    <w:p w:rsidR="002D27D3" w:rsidRPr="002D27D3" w:rsidRDefault="002D27D3" w:rsidP="002D27D3">
      <w:pPr>
        <w:spacing w:before="100" w:beforeAutospacing="1" w:after="100" w:afterAutospacing="1" w:line="240" w:lineRule="auto"/>
        <w:jc w:val="right"/>
        <w:outlineLvl w:val="0"/>
        <w:rPr>
          <w:rFonts w:ascii="Times New Roman" w:eastAsia="Times New Roman" w:hAnsi="Times New Roman" w:cs="Times New Roman"/>
          <w:b/>
          <w:bCs/>
          <w:kern w:val="36"/>
          <w:sz w:val="28"/>
          <w:szCs w:val="28"/>
          <w:lang w:eastAsia="fr-FR"/>
        </w:rPr>
      </w:pPr>
      <w:r w:rsidRPr="00DF3C71">
        <w:rPr>
          <w:rFonts w:ascii="Times New Roman" w:eastAsia="Times New Roman" w:hAnsi="Times New Roman" w:cs="Times New Roman"/>
          <w:sz w:val="24"/>
          <w:szCs w:val="24"/>
          <w:lang w:eastAsia="fr-FR"/>
        </w:rPr>
        <w:t>Gilles Robert et Yves Le Rolland</w:t>
      </w:r>
      <w:r>
        <w:rPr>
          <w:rFonts w:ascii="Times New Roman" w:eastAsia="Times New Roman" w:hAnsi="Times New Roman" w:cs="Times New Roman"/>
          <w:sz w:val="24"/>
          <w:szCs w:val="24"/>
          <w:lang w:eastAsia="fr-FR"/>
        </w:rPr>
        <w:t xml:space="preserve">, </w:t>
      </w:r>
      <w:r w:rsidRPr="002D27D3">
        <w:rPr>
          <w:rFonts w:ascii="Times New Roman" w:eastAsia="Times New Roman" w:hAnsi="Times New Roman" w:cs="Times New Roman"/>
          <w:iCs/>
          <w:sz w:val="24"/>
          <w:szCs w:val="24"/>
          <w:lang w:eastAsia="fr-FR"/>
        </w:rPr>
        <w:t xml:space="preserve">Alternatives </w:t>
      </w:r>
      <w:r w:rsidR="00B71768">
        <w:rPr>
          <w:rFonts w:ascii="Times New Roman" w:eastAsia="Times New Roman" w:hAnsi="Times New Roman" w:cs="Times New Roman"/>
          <w:iCs/>
          <w:sz w:val="24"/>
          <w:szCs w:val="24"/>
          <w:lang w:eastAsia="fr-FR"/>
        </w:rPr>
        <w:t>É</w:t>
      </w:r>
      <w:r w:rsidRPr="002D27D3">
        <w:rPr>
          <w:rFonts w:ascii="Times New Roman" w:eastAsia="Times New Roman" w:hAnsi="Times New Roman" w:cs="Times New Roman"/>
          <w:iCs/>
          <w:sz w:val="24"/>
          <w:szCs w:val="24"/>
          <w:lang w:eastAsia="fr-FR"/>
        </w:rPr>
        <w:t>conomiques</w:t>
      </w:r>
      <w:r w:rsidRPr="00DF3C71">
        <w:rPr>
          <w:rFonts w:ascii="Times New Roman" w:eastAsia="Times New Roman" w:hAnsi="Times New Roman" w:cs="Times New Roman"/>
          <w:i/>
          <w:iCs/>
          <w:sz w:val="24"/>
          <w:szCs w:val="24"/>
          <w:lang w:eastAsia="fr-FR"/>
        </w:rPr>
        <w:t xml:space="preserve"> </w:t>
      </w:r>
      <w:r>
        <w:rPr>
          <w:rFonts w:ascii="Times New Roman" w:eastAsia="Times New Roman" w:hAnsi="Times New Roman" w:cs="Times New Roman"/>
          <w:sz w:val="24"/>
          <w:szCs w:val="24"/>
          <w:lang w:eastAsia="fr-FR"/>
        </w:rPr>
        <w:t>n°</w:t>
      </w:r>
      <w:r w:rsidR="00B71768">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 xml:space="preserve">350, </w:t>
      </w:r>
      <w:r w:rsidR="00B71768">
        <w:rPr>
          <w:rFonts w:ascii="Times New Roman" w:eastAsia="Times New Roman" w:hAnsi="Times New Roman" w:cs="Times New Roman"/>
          <w:sz w:val="24"/>
          <w:szCs w:val="24"/>
          <w:lang w:eastAsia="fr-FR"/>
        </w:rPr>
        <w:t>octobre </w:t>
      </w:r>
      <w:r w:rsidRPr="00DF3C71">
        <w:rPr>
          <w:rFonts w:ascii="Times New Roman" w:eastAsia="Times New Roman" w:hAnsi="Times New Roman" w:cs="Times New Roman"/>
          <w:sz w:val="24"/>
          <w:szCs w:val="24"/>
          <w:lang w:eastAsia="fr-FR"/>
        </w:rPr>
        <w:t>2015</w:t>
      </w:r>
      <w:r w:rsidR="00B71768">
        <w:rPr>
          <w:rFonts w:ascii="Times New Roman" w:eastAsia="Times New Roman" w:hAnsi="Times New Roman" w:cs="Times New Roman"/>
          <w:sz w:val="24"/>
          <w:szCs w:val="24"/>
          <w:lang w:eastAsia="fr-FR"/>
        </w:rPr>
        <w:t>.</w:t>
      </w:r>
    </w:p>
    <w:p w:rsidR="002D27D3" w:rsidRPr="004B682E" w:rsidRDefault="00B71768" w:rsidP="00B71768">
      <w:pPr>
        <w:jc w:val="both"/>
        <w:rPr>
          <w:rFonts w:ascii="Times New Roman" w:hAnsi="Times New Roman" w:cs="Times New Roman"/>
          <w:b/>
          <w:sz w:val="24"/>
          <w:szCs w:val="24"/>
        </w:rPr>
      </w:pPr>
      <w:r>
        <w:rPr>
          <w:rFonts w:ascii="Times New Roman" w:hAnsi="Times New Roman" w:cs="Times New Roman"/>
          <w:b/>
          <w:sz w:val="24"/>
          <w:szCs w:val="24"/>
        </w:rPr>
        <w:t>À</w:t>
      </w:r>
      <w:r w:rsidR="002D27D3" w:rsidRPr="004B682E">
        <w:rPr>
          <w:rFonts w:ascii="Times New Roman" w:hAnsi="Times New Roman" w:cs="Times New Roman"/>
          <w:b/>
          <w:sz w:val="24"/>
          <w:szCs w:val="24"/>
        </w:rPr>
        <w:t xml:space="preserve"> quelques semaines de la conférence sur le climat qui se tiendra fin 2015 à Paris, retour sur les principaux outils disponibles et sur les nombreuses difficultés rencontrées pour combattre le changement climatique.</w:t>
      </w:r>
    </w:p>
    <w:p w:rsidR="002D27D3" w:rsidRDefault="002D27D3" w:rsidP="00B71768">
      <w:pPr>
        <w:pStyle w:val="NormalWeb"/>
        <w:spacing w:before="0" w:beforeAutospacing="0" w:after="120" w:afterAutospacing="0"/>
        <w:jc w:val="both"/>
      </w:pPr>
      <w:r>
        <w:t xml:space="preserve">Pour les économistes, les rejets de gaz à effet de serre dans l'atmosphère constituent ce qu'on appelle une </w:t>
      </w:r>
      <w:r w:rsidR="00B71768">
        <w:t>« </w:t>
      </w:r>
      <w:r>
        <w:t>externalité négative</w:t>
      </w:r>
      <w:r w:rsidR="00B71768">
        <w:t> »</w:t>
      </w:r>
      <w:r>
        <w:t>. Rejeter en masse du CO</w:t>
      </w:r>
      <w:r>
        <w:rPr>
          <w:vertAlign w:val="subscript"/>
        </w:rPr>
        <w:t>2</w:t>
      </w:r>
      <w:r>
        <w:t xml:space="preserve">, notamment via la combustion de carburants fossiles (gaz, pétrole et charbon), dégrade progressivement l'équilibre climatique en augmentant la teneur de l'atmosphère en carbone (effet négatif), sans que les responsables aient eu à payer le coût social (les coûts du changement climatique) induit par leur comportement. En l'absence de </w:t>
      </w:r>
      <w:r w:rsidR="00B71768">
        <w:t>« </w:t>
      </w:r>
      <w:r>
        <w:t>prix à payer</w:t>
      </w:r>
      <w:r w:rsidR="00B71768">
        <w:t> »</w:t>
      </w:r>
      <w:r>
        <w:t xml:space="preserve">, le marché ne peut jouer son rôle régulateur et les agents économiques ne sont pas </w:t>
      </w:r>
      <w:proofErr w:type="spellStart"/>
      <w:r>
        <w:t>désincités</w:t>
      </w:r>
      <w:proofErr w:type="spellEnd"/>
      <w:r>
        <w:t xml:space="preserve"> à polluer. Dans une telle situation de défaillance de marché, les pouvoirs publics ont l'obligation d'intervenir pour éviter que la situation ne dérape.</w:t>
      </w:r>
    </w:p>
    <w:p w:rsidR="002D27D3" w:rsidRDefault="002D27D3" w:rsidP="00B71768">
      <w:pPr>
        <w:pStyle w:val="NormalWeb"/>
        <w:spacing w:before="0" w:beforeAutospacing="0" w:after="120" w:afterAutospacing="0"/>
        <w:jc w:val="both"/>
      </w:pPr>
      <w:r>
        <w:t>Le premier mode classique d'intervention publique est l'usage de la contrainte, sous la forme de réglementations et/ou de normes techniques. Celles-ci peuvent aller de l'interdiction pure et simple d'utiliser certains produits à des normes limitant les émissions, comme pour les automobiles, en passant par des normes thermiques plus strictes dans le secteur du bâtiment. Ces outils réglementaires peuvent être très efficaces, comme en témoignent les résultats obtenus en matière de lutte contre la destruction de la couche d'ozone : l'utilisation des gaz CFC (chlorofluorocarbures), principaux responsables de cette dégradation, a été interdite par le protocole de Montréal en 1985 dans la fabrication des produits industriels nécessitant l'emploi d'un gaz propulseur. Résultat</w:t>
      </w:r>
      <w:r w:rsidR="00B71768">
        <w:t> :</w:t>
      </w:r>
      <w:r>
        <w:t xml:space="preserve"> la couche d'ozone devrait totalement se régénérer d'ici à cinquante ans.</w:t>
      </w:r>
    </w:p>
    <w:p w:rsidR="002D27D3" w:rsidRDefault="002D27D3" w:rsidP="00B71768">
      <w:pPr>
        <w:pStyle w:val="NormalWeb"/>
        <w:spacing w:before="0" w:beforeAutospacing="0" w:after="120" w:afterAutospacing="0"/>
        <w:jc w:val="both"/>
      </w:pPr>
      <w:r>
        <w:t xml:space="preserve">La réglementation présente néanmoins une limite majeure : elle n'incite pas à faire mieux que le seuil minimal requis, puisqu'on ne retire aucun avantage (monétaire) à être plus vertueux, et ce, alors même que la fixation d'un seuil optimal n'est pas toujours aisée. C'est pourquoi des instruments économiques sont aussi utilisés. Ils reposent cette fois sur une incitation monétaire pour modifier les comportements. Les principaux outils de ce type sont, d'une part, la taxation et, de l'autre, la création de marchés de quotas d'émission. Les deux ont en commun de permettre d'internaliser l'externalité produite par l'agent pollueur, selon le jargon des économistes. Autrement dit, de lui faire payer le coût social de son comportement. C'est l'application du principe du pollueur-payeur : une taxe sur les émissions ou sur les produits polluants tente de réguler le niveau de pollution en créant un </w:t>
      </w:r>
      <w:r w:rsidR="00B71768">
        <w:t>« prix à payer »</w:t>
      </w:r>
      <w:r>
        <w:t xml:space="preserve">. C'est l'économiste britannique Arthur </w:t>
      </w:r>
      <w:proofErr w:type="spellStart"/>
      <w:r>
        <w:t>Cécil</w:t>
      </w:r>
      <w:proofErr w:type="spellEnd"/>
      <w:r>
        <w:t xml:space="preserve"> Pigou (1877-1959) qui, le premier, en avait défini le principe.</w:t>
      </w:r>
    </w:p>
    <w:p w:rsidR="002D27D3" w:rsidRDefault="002D27D3" w:rsidP="00B71768">
      <w:pPr>
        <w:pStyle w:val="NormalWeb"/>
        <w:spacing w:before="0" w:beforeAutospacing="0" w:after="0" w:afterAutospacing="0"/>
        <w:jc w:val="both"/>
      </w:pPr>
      <w:r>
        <w:t xml:space="preserve">Si la taxe a été bien calibrée, elle doit conduire les acteurs économiques à moins consommer de produits polluants et à investir pour émettre moins de rejets nocifs. En théorie, en présence d'une taxe </w:t>
      </w:r>
      <w:r w:rsidR="00B71768">
        <w:t>« </w:t>
      </w:r>
      <w:proofErr w:type="spellStart"/>
      <w:r>
        <w:t>pigouvienne</w:t>
      </w:r>
      <w:proofErr w:type="spellEnd"/>
      <w:r w:rsidR="00B71768">
        <w:t> »</w:t>
      </w:r>
      <w:r>
        <w:t>, un agent économique a intérêt à dépolluer tant que le coût d'une unité supplémentaire de dépollution reste inférieur au montant de la taxe. La dépollution globale est donc obtenue à moindre</w:t>
      </w:r>
      <w:r w:rsidR="00B71768">
        <w:t>s</w:t>
      </w:r>
      <w:r>
        <w:t xml:space="preserve"> frais. En revanche, on peut difficilement connaître à l'avance son impact précis sur le volume global de la pollution émise.</w:t>
      </w:r>
    </w:p>
    <w:p w:rsidR="002D27D3" w:rsidRDefault="002D27D3" w:rsidP="00B71768">
      <w:pPr>
        <w:pStyle w:val="NormalWeb"/>
        <w:spacing w:before="0" w:beforeAutospacing="0" w:after="120" w:afterAutospacing="0"/>
        <w:jc w:val="both"/>
      </w:pPr>
      <w:r>
        <w:lastRenderedPageBreak/>
        <w:t>L'instauration de quotas d'émission, et de marchés associés pour échanger ces quotas, vise au contraire à réguler en priorité ce volume de pollution. Les autorités publiques attribuent alors aux entreprises des quotas d'émission, ce qui permet de connaître à l'avance la quantité globale de rejets polluants émis (quantité que l'on fera décroître progressivement dans le temps). Parallèlement, les entreprises sont autorisées à échanger ces quotas d'émission sur un marché : les entreprises vertueuses qui ne les utilisent pas en totalité peuvent en revendre une partie à celles qui n'en ont pas assez pour conduire leur activité industrielle. Entre l'offre et la demande de quotas (de carbone, par exemple), se constitue un prix de la tonne de CO</w:t>
      </w:r>
      <w:r>
        <w:rPr>
          <w:vertAlign w:val="subscript"/>
        </w:rPr>
        <w:t>2</w:t>
      </w:r>
      <w:r>
        <w:t xml:space="preserve"> qui, contrairement à ce qui se produit avec une taxe, n'est pas déterminé </w:t>
      </w:r>
      <w:r w:rsidRPr="00B71768">
        <w:rPr>
          <w:i/>
        </w:rPr>
        <w:t>a priori</w:t>
      </w:r>
      <w:r>
        <w:t xml:space="preserve"> par les autorités publiques. Les entreprises dont les coûts de dépollution sont inférieurs à ce cours </w:t>
      </w:r>
      <w:r w:rsidR="00B71768">
        <w:t>–</w:t>
      </w:r>
      <w:r>
        <w:t xml:space="preserve"> parce que leurs installations sont très anciennes par exemple et que ce changement permettrait parallèlement des gains de productivité importants </w:t>
      </w:r>
      <w:r w:rsidR="00B71768">
        <w:t>–</w:t>
      </w:r>
      <w:r>
        <w:t xml:space="preserve"> ont alors un intérêt supplémentaire à investir pour moderniser leurs équipements, ce qui les amènera à revendre leurs quotas devenus excédentaires.</w:t>
      </w:r>
    </w:p>
    <w:p w:rsidR="002D27D3" w:rsidRDefault="002D27D3" w:rsidP="00B71768">
      <w:pPr>
        <w:pStyle w:val="NormalWeb"/>
        <w:spacing w:before="0" w:beforeAutospacing="0" w:after="0" w:afterAutospacing="0"/>
        <w:jc w:val="both"/>
      </w:pPr>
      <w:r>
        <w:t>Ce système permet de réduire le volume de pollution dans les proportions souhaitées, tout en s'assurant que les investissements correspondants sont bien réalisés là où leurs coûts sont les plus faibles. Les permis d'émission créent cependant une forte incertitude sur les prix futurs associés aux quotas, ce qui peut nuire à leur efficacité en dissuadant les investissements. C'est ce qu'il se passe en Europe ces dernières années : du fait de la crise et du mauvais calibrage global des quotas d'émission, les prix du CO</w:t>
      </w:r>
      <w:r>
        <w:rPr>
          <w:vertAlign w:val="subscript"/>
        </w:rPr>
        <w:t>2</w:t>
      </w:r>
      <w:r>
        <w:t xml:space="preserve"> sont tombés tellement bas sur le marché des quotas que les entreprises ne sont plus réellement incitées à réduire leurs émissions.</w:t>
      </w:r>
    </w:p>
    <w:p w:rsidR="002D27D3" w:rsidRDefault="002D27D3" w:rsidP="002D27D3">
      <w:r>
        <w:br w:type="page"/>
      </w:r>
    </w:p>
    <w:p w:rsidR="001E34E3" w:rsidRPr="008E0F39" w:rsidRDefault="001E34E3" w:rsidP="00F130F2">
      <w:pPr>
        <w:rPr>
          <w:rFonts w:ascii="Times New Roman" w:hAnsi="Times New Roman" w:cs="Times New Roman"/>
          <w:sz w:val="24"/>
          <w:szCs w:val="24"/>
        </w:rPr>
      </w:pPr>
    </w:p>
    <w:p w:rsidR="00DA2BE9" w:rsidRPr="00DA2BE9" w:rsidRDefault="00156A8E" w:rsidP="00DA2BE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Exploitation pédagogique</w:t>
      </w:r>
    </w:p>
    <w:p w:rsidR="004B682E" w:rsidRDefault="004B682E" w:rsidP="004B682E">
      <w:pPr>
        <w:pStyle w:val="Paragraphedeliste"/>
        <w:numPr>
          <w:ilvl w:val="0"/>
          <w:numId w:val="3"/>
        </w:numPr>
      </w:pPr>
      <w:r>
        <w:t>Qu’est-ce qui différencie la réglementation des autres instruments de la politique climatique ?</w:t>
      </w:r>
    </w:p>
    <w:p w:rsidR="004B682E" w:rsidRDefault="004B682E" w:rsidP="004B682E">
      <w:pPr>
        <w:pStyle w:val="Paragraphedeliste"/>
        <w:numPr>
          <w:ilvl w:val="0"/>
          <w:numId w:val="3"/>
        </w:numPr>
      </w:pPr>
      <w:r>
        <w:t>Illustrez chacun des instruments cités par des exemples</w:t>
      </w:r>
    </w:p>
    <w:p w:rsidR="004B682E" w:rsidRDefault="004B682E" w:rsidP="004B682E">
      <w:pPr>
        <w:pStyle w:val="Paragraphedeliste"/>
        <w:numPr>
          <w:ilvl w:val="0"/>
          <w:numId w:val="3"/>
        </w:numPr>
      </w:pPr>
      <w:r>
        <w:t>Quel est le principe commun entre la taxation et le marché des quotas d’émission ?</w:t>
      </w:r>
    </w:p>
    <w:p w:rsidR="004B682E" w:rsidRDefault="004B682E" w:rsidP="004B682E">
      <w:pPr>
        <w:pStyle w:val="Paragraphedeliste"/>
        <w:numPr>
          <w:ilvl w:val="0"/>
          <w:numId w:val="3"/>
        </w:numPr>
      </w:pPr>
      <w:r>
        <w:t>Quelle est la différence entre la taxation et le marché des quotas d’émission ?</w:t>
      </w:r>
    </w:p>
    <w:p w:rsidR="004B682E" w:rsidRDefault="004B682E" w:rsidP="004B682E">
      <w:pPr>
        <w:pStyle w:val="Paragraphedeliste"/>
        <w:numPr>
          <w:ilvl w:val="0"/>
          <w:numId w:val="3"/>
        </w:numPr>
      </w:pPr>
      <w:r>
        <w:t>Complétez le tableau suivant</w:t>
      </w:r>
      <w:r w:rsidR="00B71768">
        <w:t> :</w:t>
      </w:r>
    </w:p>
    <w:p w:rsidR="00D602DD" w:rsidRDefault="00D602DD" w:rsidP="00D602DD">
      <w:pPr>
        <w:pStyle w:val="Paragraphedeliste"/>
      </w:pPr>
    </w:p>
    <w:tbl>
      <w:tblPr>
        <w:tblStyle w:val="Grilledutableau"/>
        <w:tblW w:w="8897" w:type="dxa"/>
        <w:tblLook w:val="04A0" w:firstRow="1" w:lastRow="0" w:firstColumn="1" w:lastColumn="0" w:noHBand="0" w:noVBand="1"/>
      </w:tblPr>
      <w:tblGrid>
        <w:gridCol w:w="1864"/>
        <w:gridCol w:w="3489"/>
        <w:gridCol w:w="3544"/>
      </w:tblGrid>
      <w:tr w:rsidR="00D602DD" w:rsidTr="00B71768">
        <w:tc>
          <w:tcPr>
            <w:tcW w:w="8897" w:type="dxa"/>
            <w:gridSpan w:val="3"/>
          </w:tcPr>
          <w:p w:rsidR="00D602DD" w:rsidRPr="00D602DD" w:rsidRDefault="00D602DD" w:rsidP="00B71768">
            <w:pPr>
              <w:jc w:val="center"/>
              <w:rPr>
                <w:b/>
              </w:rPr>
            </w:pPr>
            <w:r w:rsidRPr="00D602DD">
              <w:rPr>
                <w:b/>
              </w:rPr>
              <w:t>La politique climatique</w:t>
            </w:r>
          </w:p>
        </w:tc>
      </w:tr>
      <w:tr w:rsidR="00D602DD" w:rsidTr="00B71768">
        <w:tc>
          <w:tcPr>
            <w:tcW w:w="1864" w:type="dxa"/>
          </w:tcPr>
          <w:p w:rsidR="00D602DD" w:rsidRPr="00D602DD" w:rsidRDefault="00D602DD" w:rsidP="00D602DD">
            <w:pPr>
              <w:jc w:val="center"/>
              <w:rPr>
                <w:b/>
              </w:rPr>
            </w:pPr>
            <w:r w:rsidRPr="00D602DD">
              <w:rPr>
                <w:b/>
              </w:rPr>
              <w:t>Outils</w:t>
            </w:r>
          </w:p>
        </w:tc>
        <w:tc>
          <w:tcPr>
            <w:tcW w:w="3489" w:type="dxa"/>
          </w:tcPr>
          <w:p w:rsidR="00D602DD" w:rsidRPr="00D602DD" w:rsidRDefault="00D602DD" w:rsidP="00D602DD">
            <w:pPr>
              <w:jc w:val="center"/>
              <w:rPr>
                <w:b/>
              </w:rPr>
            </w:pPr>
            <w:r w:rsidRPr="00D602DD">
              <w:rPr>
                <w:b/>
              </w:rPr>
              <w:t>Avantages</w:t>
            </w:r>
          </w:p>
        </w:tc>
        <w:tc>
          <w:tcPr>
            <w:tcW w:w="3544" w:type="dxa"/>
          </w:tcPr>
          <w:p w:rsidR="00D602DD" w:rsidRPr="00D602DD" w:rsidRDefault="00D602DD" w:rsidP="00D602DD">
            <w:pPr>
              <w:jc w:val="center"/>
              <w:rPr>
                <w:b/>
              </w:rPr>
            </w:pPr>
            <w:r w:rsidRPr="00D602DD">
              <w:rPr>
                <w:b/>
              </w:rPr>
              <w:t>Difficultés et limites</w:t>
            </w:r>
          </w:p>
        </w:tc>
      </w:tr>
      <w:tr w:rsidR="00D602DD" w:rsidTr="00B71768">
        <w:tc>
          <w:tcPr>
            <w:tcW w:w="1864" w:type="dxa"/>
          </w:tcPr>
          <w:p w:rsidR="00D602DD" w:rsidRDefault="00D602DD" w:rsidP="00B71768">
            <w:r>
              <w:t>Réglementation</w:t>
            </w:r>
          </w:p>
        </w:tc>
        <w:tc>
          <w:tcPr>
            <w:tcW w:w="3489" w:type="dxa"/>
          </w:tcPr>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tc>
        <w:tc>
          <w:tcPr>
            <w:tcW w:w="3544" w:type="dxa"/>
          </w:tcPr>
          <w:p w:rsidR="00D602DD" w:rsidRDefault="00D602DD" w:rsidP="00B71768"/>
        </w:tc>
      </w:tr>
      <w:tr w:rsidR="00D602DD" w:rsidTr="00B71768">
        <w:tc>
          <w:tcPr>
            <w:tcW w:w="1864" w:type="dxa"/>
          </w:tcPr>
          <w:p w:rsidR="00D602DD" w:rsidRDefault="00D602DD" w:rsidP="00B71768">
            <w:r>
              <w:t>Taxation</w:t>
            </w:r>
          </w:p>
          <w:p w:rsidR="00D602DD" w:rsidRDefault="00D602DD" w:rsidP="00B71768"/>
        </w:tc>
        <w:tc>
          <w:tcPr>
            <w:tcW w:w="3489" w:type="dxa"/>
          </w:tcPr>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tc>
        <w:tc>
          <w:tcPr>
            <w:tcW w:w="3544" w:type="dxa"/>
          </w:tcPr>
          <w:p w:rsidR="00D602DD" w:rsidRDefault="00D602DD" w:rsidP="00B71768"/>
        </w:tc>
      </w:tr>
      <w:tr w:rsidR="00D602DD" w:rsidTr="00B71768">
        <w:tc>
          <w:tcPr>
            <w:tcW w:w="1864" w:type="dxa"/>
          </w:tcPr>
          <w:p w:rsidR="00D602DD" w:rsidRDefault="00D602DD" w:rsidP="00B71768">
            <w:r>
              <w:t>Marchés de quotas d’émission</w:t>
            </w:r>
          </w:p>
        </w:tc>
        <w:tc>
          <w:tcPr>
            <w:tcW w:w="3489" w:type="dxa"/>
          </w:tcPr>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p w:rsidR="00D602DD" w:rsidRDefault="00D602DD" w:rsidP="00B71768"/>
        </w:tc>
        <w:tc>
          <w:tcPr>
            <w:tcW w:w="3544" w:type="dxa"/>
          </w:tcPr>
          <w:p w:rsidR="00D602DD" w:rsidRDefault="00D602DD" w:rsidP="00B71768"/>
        </w:tc>
      </w:tr>
    </w:tbl>
    <w:p w:rsidR="00D602DD" w:rsidRDefault="00D602DD" w:rsidP="00D602DD"/>
    <w:p w:rsidR="00156A8E" w:rsidRDefault="00432B4E" w:rsidP="007E3999">
      <w:r>
        <w:br w:type="page"/>
      </w:r>
    </w:p>
    <w:p w:rsidR="00D54721" w:rsidRPr="00D54721" w:rsidRDefault="00156A8E" w:rsidP="00D5472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0D564D" w:rsidRDefault="000D564D" w:rsidP="000D564D">
      <w:pPr>
        <w:pStyle w:val="Paragraphedeliste"/>
        <w:numPr>
          <w:ilvl w:val="0"/>
          <w:numId w:val="4"/>
        </w:numPr>
      </w:pPr>
      <w:r>
        <w:t>La réglementation utilise la contrainte pour imposer un changement des comportements alors que la taxation et le marché des quotas d’émission sont des instruments économiques reposant sur les incitations monétaires.</w:t>
      </w:r>
    </w:p>
    <w:p w:rsidR="000D564D" w:rsidRDefault="000D564D" w:rsidP="000D564D">
      <w:pPr>
        <w:pStyle w:val="Paragraphedeliste"/>
        <w:numPr>
          <w:ilvl w:val="0"/>
          <w:numId w:val="4"/>
        </w:numPr>
      </w:pPr>
      <w:r>
        <w:t>Réglementation : interdiction des gaz CFC, suppression du plomb dans l’essence, mesures de circulation alternée en cas de pics de pollution, normes thermiques dans l’habitat…</w:t>
      </w:r>
    </w:p>
    <w:p w:rsidR="000D564D" w:rsidRDefault="000D564D" w:rsidP="000D564D">
      <w:pPr>
        <w:pStyle w:val="Paragraphedeliste"/>
        <w:ind w:left="862"/>
      </w:pPr>
      <w:r>
        <w:t>Taxation : bonus-malus lors des achats d’automobiles, taxe carbone sur les émissions de CO</w:t>
      </w:r>
      <w:r w:rsidRPr="00B71768">
        <w:rPr>
          <w:vertAlign w:val="subscript"/>
        </w:rPr>
        <w:t>2</w:t>
      </w:r>
      <w:r>
        <w:t>, taxe sur les carburants, taxe sur les ordures ménagères calculée en fonction du poids des poubelles (expérimentée dans certaines villes)…</w:t>
      </w:r>
    </w:p>
    <w:p w:rsidR="000D564D" w:rsidRDefault="000D564D" w:rsidP="000D564D">
      <w:pPr>
        <w:pStyle w:val="Paragraphedeliste"/>
        <w:ind w:left="862"/>
      </w:pPr>
      <w:r>
        <w:t xml:space="preserve">Marché des quotas d’émission : marché de quotas d’émission de dioxyde de carbone dans l’Union européenne (depuis 2005), marché du carbone chinois qui devrait voir le jour en 2016 (actuellement expérimentations régionales), marché de quotas d’émission de dioxyde de soufre aux </w:t>
      </w:r>
      <w:r w:rsidR="00B71768">
        <w:t>É</w:t>
      </w:r>
      <w:r>
        <w:t>tats-Unis (depuis 1990)…</w:t>
      </w:r>
    </w:p>
    <w:p w:rsidR="000D564D" w:rsidRDefault="000D564D" w:rsidP="000D564D">
      <w:pPr>
        <w:pStyle w:val="Paragraphedeliste"/>
        <w:numPr>
          <w:ilvl w:val="0"/>
          <w:numId w:val="4"/>
        </w:numPr>
      </w:pPr>
      <w:r>
        <w:t>Principe d’internalisation des externalités : il y a une incitation monétaire à modifier son comportement puisque l’agent à l’origine des externalités négatives doit dorénavant en supporter le coût.</w:t>
      </w:r>
    </w:p>
    <w:p w:rsidR="000D564D" w:rsidRDefault="000D564D" w:rsidP="000D564D">
      <w:pPr>
        <w:pStyle w:val="Paragraphedeliste"/>
        <w:numPr>
          <w:ilvl w:val="0"/>
          <w:numId w:val="4"/>
        </w:numPr>
      </w:pPr>
      <w:r>
        <w:t>La taxe joue sur le signal-prix et laisse au marché la détermination de la quantité d’émissions.</w:t>
      </w:r>
    </w:p>
    <w:p w:rsidR="000D564D" w:rsidRDefault="000D564D" w:rsidP="000D564D">
      <w:pPr>
        <w:pStyle w:val="Paragraphedeliste"/>
        <w:ind w:left="862"/>
      </w:pPr>
      <w:r>
        <w:t>Le marché des quotas fixe les volumes d’émissions et laisse au marché le soin de fixer les prix.</w:t>
      </w:r>
    </w:p>
    <w:p w:rsidR="000D564D" w:rsidRDefault="000D564D" w:rsidP="000D564D">
      <w:pPr>
        <w:pStyle w:val="Paragraphedeliste"/>
        <w:numPr>
          <w:ilvl w:val="0"/>
          <w:numId w:val="4"/>
        </w:numPr>
      </w:pPr>
    </w:p>
    <w:tbl>
      <w:tblPr>
        <w:tblStyle w:val="Grilledutableau"/>
        <w:tblW w:w="8897" w:type="dxa"/>
        <w:tblLook w:val="04A0" w:firstRow="1" w:lastRow="0" w:firstColumn="1" w:lastColumn="0" w:noHBand="0" w:noVBand="1"/>
      </w:tblPr>
      <w:tblGrid>
        <w:gridCol w:w="1864"/>
        <w:gridCol w:w="3489"/>
        <w:gridCol w:w="3544"/>
      </w:tblGrid>
      <w:tr w:rsidR="000D564D" w:rsidTr="00B71768">
        <w:tc>
          <w:tcPr>
            <w:tcW w:w="8897" w:type="dxa"/>
            <w:gridSpan w:val="3"/>
          </w:tcPr>
          <w:p w:rsidR="000D564D" w:rsidRPr="00D602DD" w:rsidRDefault="000D564D" w:rsidP="000D564D">
            <w:pPr>
              <w:jc w:val="center"/>
              <w:rPr>
                <w:b/>
              </w:rPr>
            </w:pPr>
            <w:r w:rsidRPr="00D602DD">
              <w:rPr>
                <w:b/>
              </w:rPr>
              <w:t>La politique climatique</w:t>
            </w:r>
          </w:p>
        </w:tc>
      </w:tr>
      <w:tr w:rsidR="000D564D" w:rsidTr="00B71768">
        <w:tc>
          <w:tcPr>
            <w:tcW w:w="1864" w:type="dxa"/>
          </w:tcPr>
          <w:p w:rsidR="000D564D" w:rsidRPr="00D602DD" w:rsidRDefault="000D564D" w:rsidP="00D602DD">
            <w:pPr>
              <w:jc w:val="center"/>
              <w:rPr>
                <w:b/>
              </w:rPr>
            </w:pPr>
            <w:r w:rsidRPr="00D602DD">
              <w:rPr>
                <w:b/>
              </w:rPr>
              <w:t>Outils</w:t>
            </w:r>
          </w:p>
        </w:tc>
        <w:tc>
          <w:tcPr>
            <w:tcW w:w="3489" w:type="dxa"/>
          </w:tcPr>
          <w:p w:rsidR="000D564D" w:rsidRPr="00D602DD" w:rsidRDefault="000D564D" w:rsidP="00D602DD">
            <w:pPr>
              <w:jc w:val="center"/>
              <w:rPr>
                <w:b/>
              </w:rPr>
            </w:pPr>
            <w:r w:rsidRPr="00D602DD">
              <w:rPr>
                <w:b/>
              </w:rPr>
              <w:t>Avantages</w:t>
            </w:r>
          </w:p>
        </w:tc>
        <w:tc>
          <w:tcPr>
            <w:tcW w:w="3544" w:type="dxa"/>
          </w:tcPr>
          <w:p w:rsidR="000D564D" w:rsidRPr="00D602DD" w:rsidRDefault="000D564D" w:rsidP="00D602DD">
            <w:pPr>
              <w:jc w:val="center"/>
              <w:rPr>
                <w:b/>
              </w:rPr>
            </w:pPr>
            <w:r w:rsidRPr="00D602DD">
              <w:rPr>
                <w:b/>
              </w:rPr>
              <w:t>Difficultés et limites</w:t>
            </w:r>
          </w:p>
        </w:tc>
      </w:tr>
      <w:tr w:rsidR="000D564D" w:rsidTr="00B71768">
        <w:tc>
          <w:tcPr>
            <w:tcW w:w="1864" w:type="dxa"/>
          </w:tcPr>
          <w:p w:rsidR="000D564D" w:rsidRDefault="000D564D" w:rsidP="00B71768">
            <w:r>
              <w:t>Réglementation</w:t>
            </w:r>
          </w:p>
        </w:tc>
        <w:tc>
          <w:tcPr>
            <w:tcW w:w="3489" w:type="dxa"/>
          </w:tcPr>
          <w:p w:rsidR="000D564D" w:rsidRDefault="000D564D" w:rsidP="00B71768">
            <w:r>
              <w:t>Efficace pour obtenir des résultats, surtout dans les cas de pollutions les plus dangereuses et/ou irréversibles</w:t>
            </w:r>
          </w:p>
        </w:tc>
        <w:tc>
          <w:tcPr>
            <w:tcW w:w="3544" w:type="dxa"/>
          </w:tcPr>
          <w:p w:rsidR="000D564D" w:rsidRDefault="00B71768" w:rsidP="00B71768">
            <w:r>
              <w:t xml:space="preserve">- </w:t>
            </w:r>
            <w:r w:rsidR="000D564D">
              <w:t>Doit être assortie de moyens de contrôle et de sanctions</w:t>
            </w:r>
          </w:p>
          <w:p w:rsidR="000D564D" w:rsidRDefault="00B71768" w:rsidP="00B71768">
            <w:r>
              <w:t xml:space="preserve">- </w:t>
            </w:r>
            <w:r w:rsidR="000D564D">
              <w:t>Fixation d’un seuil optimal</w:t>
            </w:r>
          </w:p>
          <w:p w:rsidR="000D564D" w:rsidRDefault="00B71768" w:rsidP="00B71768">
            <w:r>
              <w:t xml:space="preserve">- </w:t>
            </w:r>
            <w:r w:rsidR="000D564D">
              <w:t>Pas d’incitation à faire mieux que la norme.</w:t>
            </w:r>
          </w:p>
        </w:tc>
      </w:tr>
      <w:tr w:rsidR="000D564D" w:rsidTr="00B71768">
        <w:tc>
          <w:tcPr>
            <w:tcW w:w="1864" w:type="dxa"/>
          </w:tcPr>
          <w:p w:rsidR="000D564D" w:rsidRDefault="000D564D" w:rsidP="00B71768">
            <w:r>
              <w:t>Taxation</w:t>
            </w:r>
          </w:p>
          <w:p w:rsidR="000D564D" w:rsidRDefault="000D564D" w:rsidP="00B71768"/>
        </w:tc>
        <w:tc>
          <w:tcPr>
            <w:tcW w:w="3489" w:type="dxa"/>
          </w:tcPr>
          <w:p w:rsidR="000D564D" w:rsidRDefault="000D564D" w:rsidP="00B71768">
            <w:r>
              <w:t>Les agents économiques arbitrent entre payer la taxe et dépolluer : ils sont incités à dépolluer tant que le coût marginal de dépollution* est inférieur à la taxe. Les travaux de dépollution ont ainsi lieu d’abord là où ils sont le moins coûteux.</w:t>
            </w:r>
          </w:p>
        </w:tc>
        <w:tc>
          <w:tcPr>
            <w:tcW w:w="3544" w:type="dxa"/>
          </w:tcPr>
          <w:p w:rsidR="000D564D" w:rsidRDefault="000D564D" w:rsidP="00B71768">
            <w:r>
              <w:t xml:space="preserve">Déterminer le niveau optimal de la taxe pour réguler la pollution : difficile de prévoir ce que sera au final le niveau de pollution. </w:t>
            </w:r>
          </w:p>
        </w:tc>
      </w:tr>
      <w:tr w:rsidR="000D564D" w:rsidTr="00B71768">
        <w:tc>
          <w:tcPr>
            <w:tcW w:w="1864" w:type="dxa"/>
          </w:tcPr>
          <w:p w:rsidR="000D564D" w:rsidRDefault="000D564D" w:rsidP="00B71768">
            <w:r>
              <w:t>Marchés de quotas d’émission</w:t>
            </w:r>
          </w:p>
        </w:tc>
        <w:tc>
          <w:tcPr>
            <w:tcW w:w="3489" w:type="dxa"/>
          </w:tcPr>
          <w:p w:rsidR="000D564D" w:rsidRDefault="000D564D" w:rsidP="008537D7">
            <w:r>
              <w:t>Priorité donnée à la fixation d’un volume global d’émissions. Possibilité de limiter progressivement la pollution au niveau souhaité.</w:t>
            </w:r>
          </w:p>
        </w:tc>
        <w:tc>
          <w:tcPr>
            <w:tcW w:w="3544" w:type="dxa"/>
          </w:tcPr>
          <w:p w:rsidR="000D564D" w:rsidRDefault="000D564D" w:rsidP="00B71768">
            <w:r>
              <w:t>Attribution trop généreuse de quotas par les autorités et ralentissement économique, d’où effondrement du prix du CO</w:t>
            </w:r>
            <w:r w:rsidRPr="008537D7">
              <w:rPr>
                <w:vertAlign w:val="subscript"/>
              </w:rPr>
              <w:t>2</w:t>
            </w:r>
            <w:r>
              <w:t xml:space="preserve"> qui n’incite pas à investir dans des technologies propres.</w:t>
            </w:r>
          </w:p>
        </w:tc>
      </w:tr>
    </w:tbl>
    <w:p w:rsidR="00693F31" w:rsidRPr="000D564D" w:rsidRDefault="000D564D" w:rsidP="000D564D">
      <w:r>
        <w:t>* par exemple tant que le coût pour diminuer d’une tonne leurs émissions de CO</w:t>
      </w:r>
      <w:r w:rsidRPr="008537D7">
        <w:rPr>
          <w:vertAlign w:val="subscript"/>
        </w:rPr>
        <w:t>2</w:t>
      </w:r>
      <w:r>
        <w:t xml:space="preserve"> est inférieur à la taxation de l’émission d’une tonne de CO</w:t>
      </w:r>
      <w:r w:rsidRPr="008537D7">
        <w:rPr>
          <w:vertAlign w:val="subscript"/>
        </w:rPr>
        <w:t>2</w:t>
      </w:r>
      <w:r>
        <w:t>.</w:t>
      </w:r>
      <w:bookmarkStart w:id="0" w:name="_GoBack"/>
      <w:bookmarkEnd w:id="0"/>
    </w:p>
    <w:sectPr w:rsidR="00693F31" w:rsidRPr="000D564D" w:rsidSect="00BD351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0F4" w:rsidRDefault="00F300F4">
      <w:pPr>
        <w:spacing w:after="0" w:line="240" w:lineRule="auto"/>
      </w:pPr>
      <w:r>
        <w:separator/>
      </w:r>
    </w:p>
  </w:endnote>
  <w:endnote w:type="continuationSeparator" w:id="0">
    <w:p w:rsidR="00F300F4" w:rsidRDefault="00F3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Content>
      <w:p w:rsidR="00517BE2" w:rsidRDefault="00517BE2">
        <w:pPr>
          <w:pStyle w:val="Pieddepage"/>
          <w:jc w:val="right"/>
        </w:pPr>
        <w:r>
          <w:fldChar w:fldCharType="begin"/>
        </w:r>
        <w:r>
          <w:instrText xml:space="preserve"> PAGE   \* MERGEFORMAT </w:instrText>
        </w:r>
        <w:r>
          <w:fldChar w:fldCharType="separate"/>
        </w:r>
        <w:r w:rsidR="008537D7">
          <w:rPr>
            <w:noProof/>
          </w:rPr>
          <w:t>4</w:t>
        </w:r>
        <w:r>
          <w:rPr>
            <w:noProof/>
          </w:rPr>
          <w:fldChar w:fldCharType="end"/>
        </w:r>
      </w:p>
    </w:sdtContent>
  </w:sdt>
  <w:p w:rsidR="00517BE2" w:rsidRDefault="00517B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0F4" w:rsidRDefault="00F300F4">
      <w:pPr>
        <w:spacing w:after="0" w:line="240" w:lineRule="auto"/>
      </w:pPr>
      <w:r>
        <w:separator/>
      </w:r>
    </w:p>
  </w:footnote>
  <w:footnote w:type="continuationSeparator" w:id="0">
    <w:p w:rsidR="00F300F4" w:rsidRDefault="00F30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BE2" w:rsidRDefault="00517BE2" w:rsidP="00BD351A">
    <w:pPr>
      <w:pStyle w:val="En-tte"/>
      <w:jc w:val="right"/>
    </w:pPr>
    <w:r>
      <w:t>Actu SES © Hatier – Joëlle Bails</w:t>
    </w:r>
  </w:p>
  <w:p w:rsidR="00517BE2" w:rsidRDefault="00517BE2"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A44"/>
    <w:multiLevelType w:val="hybridMultilevel"/>
    <w:tmpl w:val="C9C2D5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8A3A12"/>
    <w:multiLevelType w:val="hybridMultilevel"/>
    <w:tmpl w:val="7DC6ADF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nsid w:val="526524E9"/>
    <w:multiLevelType w:val="hybridMultilevel"/>
    <w:tmpl w:val="3F946302"/>
    <w:lvl w:ilvl="0" w:tplc="9E8A92C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A3A0028"/>
    <w:multiLevelType w:val="hybridMultilevel"/>
    <w:tmpl w:val="2A00CA16"/>
    <w:lvl w:ilvl="0" w:tplc="3CD4DAFA">
      <w:start w:val="1"/>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4">
    <w:nsid w:val="724C1FA8"/>
    <w:multiLevelType w:val="hybridMultilevel"/>
    <w:tmpl w:val="1C6E1B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301A"/>
    <w:rsid w:val="000050E1"/>
    <w:rsid w:val="00005708"/>
    <w:rsid w:val="0000642A"/>
    <w:rsid w:val="0000776E"/>
    <w:rsid w:val="000077E8"/>
    <w:rsid w:val="00007920"/>
    <w:rsid w:val="0001147C"/>
    <w:rsid w:val="00015582"/>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3EC8"/>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57532"/>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25E3"/>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64D"/>
    <w:rsid w:val="000D5A7C"/>
    <w:rsid w:val="000D6CAC"/>
    <w:rsid w:val="000E03F4"/>
    <w:rsid w:val="000E38AD"/>
    <w:rsid w:val="000E3A47"/>
    <w:rsid w:val="000E3CBB"/>
    <w:rsid w:val="000E43A7"/>
    <w:rsid w:val="000E44BC"/>
    <w:rsid w:val="000E54AC"/>
    <w:rsid w:val="000E6678"/>
    <w:rsid w:val="000E67C7"/>
    <w:rsid w:val="000E6C42"/>
    <w:rsid w:val="000E7CED"/>
    <w:rsid w:val="000F0820"/>
    <w:rsid w:val="000F139D"/>
    <w:rsid w:val="000F1B44"/>
    <w:rsid w:val="000F38BB"/>
    <w:rsid w:val="000F46B3"/>
    <w:rsid w:val="000F4D8B"/>
    <w:rsid w:val="000F572C"/>
    <w:rsid w:val="000F57EA"/>
    <w:rsid w:val="000F5935"/>
    <w:rsid w:val="000F5CF8"/>
    <w:rsid w:val="000F630D"/>
    <w:rsid w:val="000F6AC7"/>
    <w:rsid w:val="00100293"/>
    <w:rsid w:val="0010083F"/>
    <w:rsid w:val="00101BE0"/>
    <w:rsid w:val="001024DE"/>
    <w:rsid w:val="00102B9F"/>
    <w:rsid w:val="00103955"/>
    <w:rsid w:val="001049B6"/>
    <w:rsid w:val="00104FE2"/>
    <w:rsid w:val="001057BB"/>
    <w:rsid w:val="00105DEC"/>
    <w:rsid w:val="00105E2F"/>
    <w:rsid w:val="00105EE7"/>
    <w:rsid w:val="001079FD"/>
    <w:rsid w:val="001110B1"/>
    <w:rsid w:val="0011184C"/>
    <w:rsid w:val="0011272C"/>
    <w:rsid w:val="00113C0D"/>
    <w:rsid w:val="00114C77"/>
    <w:rsid w:val="001153B0"/>
    <w:rsid w:val="00115990"/>
    <w:rsid w:val="00116229"/>
    <w:rsid w:val="001164E5"/>
    <w:rsid w:val="00116C5B"/>
    <w:rsid w:val="0011722F"/>
    <w:rsid w:val="001209EC"/>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375D8"/>
    <w:rsid w:val="00140044"/>
    <w:rsid w:val="001401FB"/>
    <w:rsid w:val="00140ACE"/>
    <w:rsid w:val="00140E66"/>
    <w:rsid w:val="00141221"/>
    <w:rsid w:val="00141380"/>
    <w:rsid w:val="00141638"/>
    <w:rsid w:val="00141CC3"/>
    <w:rsid w:val="001422DA"/>
    <w:rsid w:val="00144D47"/>
    <w:rsid w:val="00144DF4"/>
    <w:rsid w:val="00144FB8"/>
    <w:rsid w:val="00145E54"/>
    <w:rsid w:val="0014624F"/>
    <w:rsid w:val="0014630A"/>
    <w:rsid w:val="00150299"/>
    <w:rsid w:val="00152A52"/>
    <w:rsid w:val="00152C1C"/>
    <w:rsid w:val="001550DF"/>
    <w:rsid w:val="001563D4"/>
    <w:rsid w:val="00156A8E"/>
    <w:rsid w:val="00157B40"/>
    <w:rsid w:val="00160C47"/>
    <w:rsid w:val="00160F9B"/>
    <w:rsid w:val="001615DF"/>
    <w:rsid w:val="001617EB"/>
    <w:rsid w:val="00161A8B"/>
    <w:rsid w:val="0016213C"/>
    <w:rsid w:val="0016218D"/>
    <w:rsid w:val="001631C0"/>
    <w:rsid w:val="0016461B"/>
    <w:rsid w:val="00164893"/>
    <w:rsid w:val="00165052"/>
    <w:rsid w:val="00165100"/>
    <w:rsid w:val="00165231"/>
    <w:rsid w:val="001652D4"/>
    <w:rsid w:val="00165F6B"/>
    <w:rsid w:val="001662C9"/>
    <w:rsid w:val="00166AB9"/>
    <w:rsid w:val="0016725E"/>
    <w:rsid w:val="00167354"/>
    <w:rsid w:val="0016745B"/>
    <w:rsid w:val="00167DB2"/>
    <w:rsid w:val="001710F1"/>
    <w:rsid w:val="00172F6E"/>
    <w:rsid w:val="0017425D"/>
    <w:rsid w:val="00174711"/>
    <w:rsid w:val="00176945"/>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94822"/>
    <w:rsid w:val="00195D7A"/>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2DB"/>
    <w:rsid w:val="001D7879"/>
    <w:rsid w:val="001E0BCF"/>
    <w:rsid w:val="001E349F"/>
    <w:rsid w:val="001E34E3"/>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50FF"/>
    <w:rsid w:val="002055FA"/>
    <w:rsid w:val="002063A0"/>
    <w:rsid w:val="002063E4"/>
    <w:rsid w:val="00206C4F"/>
    <w:rsid w:val="00210044"/>
    <w:rsid w:val="00210F2F"/>
    <w:rsid w:val="002115A7"/>
    <w:rsid w:val="0021294B"/>
    <w:rsid w:val="002138EC"/>
    <w:rsid w:val="00214650"/>
    <w:rsid w:val="00214B3E"/>
    <w:rsid w:val="00215556"/>
    <w:rsid w:val="002156C4"/>
    <w:rsid w:val="00217359"/>
    <w:rsid w:val="00222DD8"/>
    <w:rsid w:val="002255D2"/>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5B2"/>
    <w:rsid w:val="00237807"/>
    <w:rsid w:val="002379AC"/>
    <w:rsid w:val="002401D9"/>
    <w:rsid w:val="00240251"/>
    <w:rsid w:val="002412AE"/>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0AEC"/>
    <w:rsid w:val="002628A7"/>
    <w:rsid w:val="002629AD"/>
    <w:rsid w:val="00262B44"/>
    <w:rsid w:val="002632C5"/>
    <w:rsid w:val="00263C5F"/>
    <w:rsid w:val="0026416F"/>
    <w:rsid w:val="00267ED8"/>
    <w:rsid w:val="0027128F"/>
    <w:rsid w:val="00271CE8"/>
    <w:rsid w:val="0027349C"/>
    <w:rsid w:val="002738C4"/>
    <w:rsid w:val="0027397D"/>
    <w:rsid w:val="00275B1A"/>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4107"/>
    <w:rsid w:val="00294747"/>
    <w:rsid w:val="0029530F"/>
    <w:rsid w:val="002959E1"/>
    <w:rsid w:val="00295E06"/>
    <w:rsid w:val="0029633E"/>
    <w:rsid w:val="002970E8"/>
    <w:rsid w:val="002A02E3"/>
    <w:rsid w:val="002A07E2"/>
    <w:rsid w:val="002A0950"/>
    <w:rsid w:val="002A0AB4"/>
    <w:rsid w:val="002A1B4F"/>
    <w:rsid w:val="002A1EE1"/>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1418"/>
    <w:rsid w:val="002C2057"/>
    <w:rsid w:val="002C2341"/>
    <w:rsid w:val="002C2381"/>
    <w:rsid w:val="002C3420"/>
    <w:rsid w:val="002C38D0"/>
    <w:rsid w:val="002C4BC3"/>
    <w:rsid w:val="002C4CBA"/>
    <w:rsid w:val="002C4E37"/>
    <w:rsid w:val="002C5BA6"/>
    <w:rsid w:val="002C695A"/>
    <w:rsid w:val="002C6BAD"/>
    <w:rsid w:val="002C7E42"/>
    <w:rsid w:val="002D0E5A"/>
    <w:rsid w:val="002D12B3"/>
    <w:rsid w:val="002D1D7F"/>
    <w:rsid w:val="002D1F5B"/>
    <w:rsid w:val="002D27D3"/>
    <w:rsid w:val="002D3051"/>
    <w:rsid w:val="002D5558"/>
    <w:rsid w:val="002D64B1"/>
    <w:rsid w:val="002D65D5"/>
    <w:rsid w:val="002D6B8E"/>
    <w:rsid w:val="002D749A"/>
    <w:rsid w:val="002E2C9B"/>
    <w:rsid w:val="002E3DC3"/>
    <w:rsid w:val="002E3F23"/>
    <w:rsid w:val="002E40B5"/>
    <w:rsid w:val="002E4102"/>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3AAD"/>
    <w:rsid w:val="002F41C4"/>
    <w:rsid w:val="002F5250"/>
    <w:rsid w:val="002F66C8"/>
    <w:rsid w:val="002F671E"/>
    <w:rsid w:val="002F6BB0"/>
    <w:rsid w:val="002F7892"/>
    <w:rsid w:val="002F7E8C"/>
    <w:rsid w:val="00302318"/>
    <w:rsid w:val="003026F9"/>
    <w:rsid w:val="00302807"/>
    <w:rsid w:val="003051D0"/>
    <w:rsid w:val="00305EE1"/>
    <w:rsid w:val="003100E5"/>
    <w:rsid w:val="00310217"/>
    <w:rsid w:val="0031042D"/>
    <w:rsid w:val="00310F15"/>
    <w:rsid w:val="0031206F"/>
    <w:rsid w:val="00312DFE"/>
    <w:rsid w:val="00313B6E"/>
    <w:rsid w:val="00313C21"/>
    <w:rsid w:val="00313F40"/>
    <w:rsid w:val="00314929"/>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19D3"/>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680"/>
    <w:rsid w:val="0035699E"/>
    <w:rsid w:val="003573B6"/>
    <w:rsid w:val="00357524"/>
    <w:rsid w:val="0035773C"/>
    <w:rsid w:val="00360034"/>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77944"/>
    <w:rsid w:val="003809CC"/>
    <w:rsid w:val="00380EFF"/>
    <w:rsid w:val="003814C6"/>
    <w:rsid w:val="003814DD"/>
    <w:rsid w:val="00381745"/>
    <w:rsid w:val="00381CEE"/>
    <w:rsid w:val="003821C1"/>
    <w:rsid w:val="0038403C"/>
    <w:rsid w:val="00384D72"/>
    <w:rsid w:val="0038576A"/>
    <w:rsid w:val="00385921"/>
    <w:rsid w:val="003859E1"/>
    <w:rsid w:val="00385A85"/>
    <w:rsid w:val="00386EFE"/>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15F3"/>
    <w:rsid w:val="003B2BBC"/>
    <w:rsid w:val="003B2EC2"/>
    <w:rsid w:val="003B304B"/>
    <w:rsid w:val="003B3396"/>
    <w:rsid w:val="003B3ACC"/>
    <w:rsid w:val="003B3BB9"/>
    <w:rsid w:val="003B3EB7"/>
    <w:rsid w:val="003B4A46"/>
    <w:rsid w:val="003B54EE"/>
    <w:rsid w:val="003B6278"/>
    <w:rsid w:val="003B702C"/>
    <w:rsid w:val="003B730F"/>
    <w:rsid w:val="003B7F0A"/>
    <w:rsid w:val="003C14B7"/>
    <w:rsid w:val="003C1D07"/>
    <w:rsid w:val="003C1FA6"/>
    <w:rsid w:val="003C2133"/>
    <w:rsid w:val="003C5266"/>
    <w:rsid w:val="003C5302"/>
    <w:rsid w:val="003C5A88"/>
    <w:rsid w:val="003D00DB"/>
    <w:rsid w:val="003D1DDA"/>
    <w:rsid w:val="003D241F"/>
    <w:rsid w:val="003D2645"/>
    <w:rsid w:val="003D4AF3"/>
    <w:rsid w:val="003D5791"/>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0A9"/>
    <w:rsid w:val="003E46EE"/>
    <w:rsid w:val="003E52EC"/>
    <w:rsid w:val="003E5F82"/>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5A56"/>
    <w:rsid w:val="003F70CA"/>
    <w:rsid w:val="003F7AA2"/>
    <w:rsid w:val="0040083E"/>
    <w:rsid w:val="0040102C"/>
    <w:rsid w:val="00401F45"/>
    <w:rsid w:val="00402786"/>
    <w:rsid w:val="00402C46"/>
    <w:rsid w:val="0040351C"/>
    <w:rsid w:val="00403E06"/>
    <w:rsid w:val="0040498B"/>
    <w:rsid w:val="0040556A"/>
    <w:rsid w:val="00405804"/>
    <w:rsid w:val="00405B0F"/>
    <w:rsid w:val="00406998"/>
    <w:rsid w:val="00406C53"/>
    <w:rsid w:val="00406E98"/>
    <w:rsid w:val="004077F4"/>
    <w:rsid w:val="00407A83"/>
    <w:rsid w:val="00407B39"/>
    <w:rsid w:val="0041086C"/>
    <w:rsid w:val="0041168F"/>
    <w:rsid w:val="0041295E"/>
    <w:rsid w:val="00412974"/>
    <w:rsid w:val="00413383"/>
    <w:rsid w:val="004134DF"/>
    <w:rsid w:val="00413F97"/>
    <w:rsid w:val="0041407D"/>
    <w:rsid w:val="00414E08"/>
    <w:rsid w:val="0041569C"/>
    <w:rsid w:val="00416461"/>
    <w:rsid w:val="004167FB"/>
    <w:rsid w:val="00417979"/>
    <w:rsid w:val="00420BF8"/>
    <w:rsid w:val="00423125"/>
    <w:rsid w:val="004234DF"/>
    <w:rsid w:val="0042354A"/>
    <w:rsid w:val="004240D3"/>
    <w:rsid w:val="00424E55"/>
    <w:rsid w:val="0042504F"/>
    <w:rsid w:val="0042526A"/>
    <w:rsid w:val="00425288"/>
    <w:rsid w:val="00425EE4"/>
    <w:rsid w:val="004276BB"/>
    <w:rsid w:val="00430629"/>
    <w:rsid w:val="00431E27"/>
    <w:rsid w:val="00432B4E"/>
    <w:rsid w:val="00433C71"/>
    <w:rsid w:val="004344DA"/>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B6D"/>
    <w:rsid w:val="00453C67"/>
    <w:rsid w:val="00454E3D"/>
    <w:rsid w:val="00455821"/>
    <w:rsid w:val="004572A0"/>
    <w:rsid w:val="0046132A"/>
    <w:rsid w:val="0046141F"/>
    <w:rsid w:val="00463E07"/>
    <w:rsid w:val="0046585E"/>
    <w:rsid w:val="00470090"/>
    <w:rsid w:val="0047032C"/>
    <w:rsid w:val="00470943"/>
    <w:rsid w:val="00470CBA"/>
    <w:rsid w:val="00470F09"/>
    <w:rsid w:val="00471FF8"/>
    <w:rsid w:val="0047219C"/>
    <w:rsid w:val="004725AD"/>
    <w:rsid w:val="0047300E"/>
    <w:rsid w:val="00473409"/>
    <w:rsid w:val="00475AA0"/>
    <w:rsid w:val="00475F26"/>
    <w:rsid w:val="0047608B"/>
    <w:rsid w:val="00476503"/>
    <w:rsid w:val="00477660"/>
    <w:rsid w:val="00481618"/>
    <w:rsid w:val="0048174D"/>
    <w:rsid w:val="00482423"/>
    <w:rsid w:val="00483669"/>
    <w:rsid w:val="0048462E"/>
    <w:rsid w:val="004852F8"/>
    <w:rsid w:val="0048586C"/>
    <w:rsid w:val="0048599A"/>
    <w:rsid w:val="004860B0"/>
    <w:rsid w:val="00486746"/>
    <w:rsid w:val="00486D9A"/>
    <w:rsid w:val="0048710E"/>
    <w:rsid w:val="00490006"/>
    <w:rsid w:val="0049116B"/>
    <w:rsid w:val="00492F36"/>
    <w:rsid w:val="00493C8C"/>
    <w:rsid w:val="00494171"/>
    <w:rsid w:val="004949B6"/>
    <w:rsid w:val="0049505D"/>
    <w:rsid w:val="004954A8"/>
    <w:rsid w:val="004968E4"/>
    <w:rsid w:val="00496A4D"/>
    <w:rsid w:val="004970C9"/>
    <w:rsid w:val="0049775C"/>
    <w:rsid w:val="004A132E"/>
    <w:rsid w:val="004A21CC"/>
    <w:rsid w:val="004A3A9B"/>
    <w:rsid w:val="004A4B57"/>
    <w:rsid w:val="004A5772"/>
    <w:rsid w:val="004A5DDA"/>
    <w:rsid w:val="004A5EBC"/>
    <w:rsid w:val="004A6E2A"/>
    <w:rsid w:val="004A7673"/>
    <w:rsid w:val="004B0321"/>
    <w:rsid w:val="004B0545"/>
    <w:rsid w:val="004B0753"/>
    <w:rsid w:val="004B0A25"/>
    <w:rsid w:val="004B15BD"/>
    <w:rsid w:val="004B27F8"/>
    <w:rsid w:val="004B29FB"/>
    <w:rsid w:val="004B2D5E"/>
    <w:rsid w:val="004B523E"/>
    <w:rsid w:val="004B540D"/>
    <w:rsid w:val="004B58F8"/>
    <w:rsid w:val="004B5B5B"/>
    <w:rsid w:val="004B682E"/>
    <w:rsid w:val="004B6AF4"/>
    <w:rsid w:val="004B6DF1"/>
    <w:rsid w:val="004B779F"/>
    <w:rsid w:val="004C014F"/>
    <w:rsid w:val="004C08C4"/>
    <w:rsid w:val="004C103B"/>
    <w:rsid w:val="004C1396"/>
    <w:rsid w:val="004C1717"/>
    <w:rsid w:val="004C1885"/>
    <w:rsid w:val="004C69FE"/>
    <w:rsid w:val="004C7460"/>
    <w:rsid w:val="004D04D1"/>
    <w:rsid w:val="004D0FAD"/>
    <w:rsid w:val="004D23A7"/>
    <w:rsid w:val="004D3481"/>
    <w:rsid w:val="004D36E0"/>
    <w:rsid w:val="004D37ED"/>
    <w:rsid w:val="004D47CE"/>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3D"/>
    <w:rsid w:val="004F4691"/>
    <w:rsid w:val="004F4BE6"/>
    <w:rsid w:val="004F5516"/>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49E3"/>
    <w:rsid w:val="00515565"/>
    <w:rsid w:val="005164E3"/>
    <w:rsid w:val="00516A59"/>
    <w:rsid w:val="00516D0E"/>
    <w:rsid w:val="00517472"/>
    <w:rsid w:val="0051754E"/>
    <w:rsid w:val="00517BE2"/>
    <w:rsid w:val="00520549"/>
    <w:rsid w:val="0052080C"/>
    <w:rsid w:val="00521BB9"/>
    <w:rsid w:val="00521D8A"/>
    <w:rsid w:val="00522568"/>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636"/>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C12"/>
    <w:rsid w:val="00561C72"/>
    <w:rsid w:val="00561CA1"/>
    <w:rsid w:val="005633BC"/>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619"/>
    <w:rsid w:val="005807C3"/>
    <w:rsid w:val="00582FCD"/>
    <w:rsid w:val="0058347D"/>
    <w:rsid w:val="00584114"/>
    <w:rsid w:val="005849F3"/>
    <w:rsid w:val="00585066"/>
    <w:rsid w:val="0058655B"/>
    <w:rsid w:val="0058705C"/>
    <w:rsid w:val="00587474"/>
    <w:rsid w:val="005876FA"/>
    <w:rsid w:val="00587795"/>
    <w:rsid w:val="005879C0"/>
    <w:rsid w:val="005903D5"/>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51DA"/>
    <w:rsid w:val="005D7EED"/>
    <w:rsid w:val="005E2EDB"/>
    <w:rsid w:val="005E352B"/>
    <w:rsid w:val="005E3E43"/>
    <w:rsid w:val="005E4E4A"/>
    <w:rsid w:val="005E4F07"/>
    <w:rsid w:val="005E5319"/>
    <w:rsid w:val="005E5700"/>
    <w:rsid w:val="005F0ED3"/>
    <w:rsid w:val="005F17E6"/>
    <w:rsid w:val="005F1A10"/>
    <w:rsid w:val="005F1A96"/>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AA7"/>
    <w:rsid w:val="00604CEC"/>
    <w:rsid w:val="00605564"/>
    <w:rsid w:val="006055FF"/>
    <w:rsid w:val="00606AD7"/>
    <w:rsid w:val="0060706D"/>
    <w:rsid w:val="0061034A"/>
    <w:rsid w:val="00610483"/>
    <w:rsid w:val="00612468"/>
    <w:rsid w:val="00613E09"/>
    <w:rsid w:val="0061516E"/>
    <w:rsid w:val="006157D0"/>
    <w:rsid w:val="0061596C"/>
    <w:rsid w:val="00615F0E"/>
    <w:rsid w:val="00616217"/>
    <w:rsid w:val="0061622E"/>
    <w:rsid w:val="00616E1B"/>
    <w:rsid w:val="0062060C"/>
    <w:rsid w:val="00620C8D"/>
    <w:rsid w:val="0062130D"/>
    <w:rsid w:val="00621E6F"/>
    <w:rsid w:val="006223EC"/>
    <w:rsid w:val="0062391C"/>
    <w:rsid w:val="006239A5"/>
    <w:rsid w:val="00623B92"/>
    <w:rsid w:val="00623CDA"/>
    <w:rsid w:val="00623EA0"/>
    <w:rsid w:val="00624030"/>
    <w:rsid w:val="0062519D"/>
    <w:rsid w:val="006254E5"/>
    <w:rsid w:val="00625DBE"/>
    <w:rsid w:val="006261B4"/>
    <w:rsid w:val="0062624A"/>
    <w:rsid w:val="00627CBD"/>
    <w:rsid w:val="00627EA9"/>
    <w:rsid w:val="0063007E"/>
    <w:rsid w:val="006303F5"/>
    <w:rsid w:val="00630867"/>
    <w:rsid w:val="00631733"/>
    <w:rsid w:val="006329B6"/>
    <w:rsid w:val="006343D7"/>
    <w:rsid w:val="0063443F"/>
    <w:rsid w:val="00634CA1"/>
    <w:rsid w:val="00635AD0"/>
    <w:rsid w:val="00635CEF"/>
    <w:rsid w:val="00636851"/>
    <w:rsid w:val="006370CD"/>
    <w:rsid w:val="0063711B"/>
    <w:rsid w:val="006376F3"/>
    <w:rsid w:val="006404AC"/>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56C8A"/>
    <w:rsid w:val="0066072E"/>
    <w:rsid w:val="00660899"/>
    <w:rsid w:val="00660AB3"/>
    <w:rsid w:val="00660DC4"/>
    <w:rsid w:val="00661967"/>
    <w:rsid w:val="00661C53"/>
    <w:rsid w:val="00664562"/>
    <w:rsid w:val="00664604"/>
    <w:rsid w:val="00664C99"/>
    <w:rsid w:val="00667EA6"/>
    <w:rsid w:val="0067064C"/>
    <w:rsid w:val="00670653"/>
    <w:rsid w:val="006711BA"/>
    <w:rsid w:val="00671DE6"/>
    <w:rsid w:val="0067253B"/>
    <w:rsid w:val="00673084"/>
    <w:rsid w:val="0067315A"/>
    <w:rsid w:val="00674DF0"/>
    <w:rsid w:val="00675B96"/>
    <w:rsid w:val="00676F8D"/>
    <w:rsid w:val="00677FAC"/>
    <w:rsid w:val="006804B4"/>
    <w:rsid w:val="00680E5B"/>
    <w:rsid w:val="00683F7C"/>
    <w:rsid w:val="0068487D"/>
    <w:rsid w:val="006848BA"/>
    <w:rsid w:val="00685E0B"/>
    <w:rsid w:val="00690166"/>
    <w:rsid w:val="00690F64"/>
    <w:rsid w:val="006917B5"/>
    <w:rsid w:val="006937A9"/>
    <w:rsid w:val="00693C26"/>
    <w:rsid w:val="00693F31"/>
    <w:rsid w:val="006955E1"/>
    <w:rsid w:val="00696114"/>
    <w:rsid w:val="00696550"/>
    <w:rsid w:val="00696573"/>
    <w:rsid w:val="00696AF8"/>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60B7"/>
    <w:rsid w:val="006B7779"/>
    <w:rsid w:val="006C003B"/>
    <w:rsid w:val="006C055B"/>
    <w:rsid w:val="006C088E"/>
    <w:rsid w:val="006C0E5E"/>
    <w:rsid w:val="006C12F5"/>
    <w:rsid w:val="006C1A69"/>
    <w:rsid w:val="006C31AD"/>
    <w:rsid w:val="006C3821"/>
    <w:rsid w:val="006C407B"/>
    <w:rsid w:val="006C53FB"/>
    <w:rsid w:val="006C6CB7"/>
    <w:rsid w:val="006D111C"/>
    <w:rsid w:val="006D25AA"/>
    <w:rsid w:val="006D2CD1"/>
    <w:rsid w:val="006D37BE"/>
    <w:rsid w:val="006D3D8D"/>
    <w:rsid w:val="006D45E0"/>
    <w:rsid w:val="006D7A33"/>
    <w:rsid w:val="006E01B0"/>
    <w:rsid w:val="006E0719"/>
    <w:rsid w:val="006E09F8"/>
    <w:rsid w:val="006E0D50"/>
    <w:rsid w:val="006E3046"/>
    <w:rsid w:val="006E3576"/>
    <w:rsid w:val="006E4259"/>
    <w:rsid w:val="006E47EA"/>
    <w:rsid w:val="006E4A91"/>
    <w:rsid w:val="006E52BC"/>
    <w:rsid w:val="006E5509"/>
    <w:rsid w:val="006E56AF"/>
    <w:rsid w:val="006E67EF"/>
    <w:rsid w:val="006E735D"/>
    <w:rsid w:val="006F018C"/>
    <w:rsid w:val="006F1805"/>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06E5"/>
    <w:rsid w:val="0073270E"/>
    <w:rsid w:val="00732947"/>
    <w:rsid w:val="00733EE0"/>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711"/>
    <w:rsid w:val="00752D30"/>
    <w:rsid w:val="00752D58"/>
    <w:rsid w:val="00752E6C"/>
    <w:rsid w:val="00754DC6"/>
    <w:rsid w:val="00754F5F"/>
    <w:rsid w:val="007552D8"/>
    <w:rsid w:val="0075574D"/>
    <w:rsid w:val="00755D23"/>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412D"/>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7CB0"/>
    <w:rsid w:val="007A09FB"/>
    <w:rsid w:val="007A0B31"/>
    <w:rsid w:val="007A1385"/>
    <w:rsid w:val="007A2DCB"/>
    <w:rsid w:val="007A3B89"/>
    <w:rsid w:val="007A4B2F"/>
    <w:rsid w:val="007A4D4F"/>
    <w:rsid w:val="007A5481"/>
    <w:rsid w:val="007A59CE"/>
    <w:rsid w:val="007A5F9D"/>
    <w:rsid w:val="007A61DB"/>
    <w:rsid w:val="007A67FC"/>
    <w:rsid w:val="007A6CA2"/>
    <w:rsid w:val="007B008F"/>
    <w:rsid w:val="007B0775"/>
    <w:rsid w:val="007B11AB"/>
    <w:rsid w:val="007B172F"/>
    <w:rsid w:val="007B188C"/>
    <w:rsid w:val="007B2544"/>
    <w:rsid w:val="007B2B76"/>
    <w:rsid w:val="007B401B"/>
    <w:rsid w:val="007B6799"/>
    <w:rsid w:val="007B7757"/>
    <w:rsid w:val="007B7BB1"/>
    <w:rsid w:val="007B7D3E"/>
    <w:rsid w:val="007C042E"/>
    <w:rsid w:val="007C0837"/>
    <w:rsid w:val="007C0CD8"/>
    <w:rsid w:val="007C0D6E"/>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3F6"/>
    <w:rsid w:val="007C7646"/>
    <w:rsid w:val="007D02D7"/>
    <w:rsid w:val="007D0597"/>
    <w:rsid w:val="007D14BE"/>
    <w:rsid w:val="007D35E4"/>
    <w:rsid w:val="007D736D"/>
    <w:rsid w:val="007D7449"/>
    <w:rsid w:val="007D77EE"/>
    <w:rsid w:val="007E0B55"/>
    <w:rsid w:val="007E269F"/>
    <w:rsid w:val="007E3999"/>
    <w:rsid w:val="007E495F"/>
    <w:rsid w:val="007E6B79"/>
    <w:rsid w:val="007E6D33"/>
    <w:rsid w:val="007E72FC"/>
    <w:rsid w:val="007F2587"/>
    <w:rsid w:val="007F25B5"/>
    <w:rsid w:val="007F38AA"/>
    <w:rsid w:val="007F450F"/>
    <w:rsid w:val="007F4EF9"/>
    <w:rsid w:val="007F62F3"/>
    <w:rsid w:val="007F62F6"/>
    <w:rsid w:val="007F65E8"/>
    <w:rsid w:val="007F66D5"/>
    <w:rsid w:val="007F6EF2"/>
    <w:rsid w:val="007F7938"/>
    <w:rsid w:val="00800E30"/>
    <w:rsid w:val="00800F19"/>
    <w:rsid w:val="00800F84"/>
    <w:rsid w:val="008013EA"/>
    <w:rsid w:val="00801512"/>
    <w:rsid w:val="008029FF"/>
    <w:rsid w:val="00802C76"/>
    <w:rsid w:val="008034B8"/>
    <w:rsid w:val="0080393A"/>
    <w:rsid w:val="0080596A"/>
    <w:rsid w:val="00807A95"/>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42C"/>
    <w:rsid w:val="008245E4"/>
    <w:rsid w:val="008248B0"/>
    <w:rsid w:val="00825707"/>
    <w:rsid w:val="00825C2A"/>
    <w:rsid w:val="00826B11"/>
    <w:rsid w:val="00826E2B"/>
    <w:rsid w:val="008301A5"/>
    <w:rsid w:val="00830755"/>
    <w:rsid w:val="00831BA6"/>
    <w:rsid w:val="00831FE0"/>
    <w:rsid w:val="00832676"/>
    <w:rsid w:val="008329BE"/>
    <w:rsid w:val="00832AD3"/>
    <w:rsid w:val="0083434B"/>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5BC"/>
    <w:rsid w:val="00850EC0"/>
    <w:rsid w:val="00851AB1"/>
    <w:rsid w:val="00851AE8"/>
    <w:rsid w:val="00851C27"/>
    <w:rsid w:val="00852B30"/>
    <w:rsid w:val="008537D7"/>
    <w:rsid w:val="00853BC7"/>
    <w:rsid w:val="0085464B"/>
    <w:rsid w:val="0085475B"/>
    <w:rsid w:val="00854794"/>
    <w:rsid w:val="008549BD"/>
    <w:rsid w:val="00854C00"/>
    <w:rsid w:val="0085539E"/>
    <w:rsid w:val="00855CFE"/>
    <w:rsid w:val="008560E0"/>
    <w:rsid w:val="00857BC5"/>
    <w:rsid w:val="00860A7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1E58"/>
    <w:rsid w:val="008827C8"/>
    <w:rsid w:val="00882C6E"/>
    <w:rsid w:val="008834DA"/>
    <w:rsid w:val="008835CC"/>
    <w:rsid w:val="008837BB"/>
    <w:rsid w:val="0088499E"/>
    <w:rsid w:val="00885E42"/>
    <w:rsid w:val="008871FC"/>
    <w:rsid w:val="00890840"/>
    <w:rsid w:val="008928A8"/>
    <w:rsid w:val="0089333C"/>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483D"/>
    <w:rsid w:val="008B795C"/>
    <w:rsid w:val="008C149B"/>
    <w:rsid w:val="008C1623"/>
    <w:rsid w:val="008C313C"/>
    <w:rsid w:val="008C3918"/>
    <w:rsid w:val="008C4E94"/>
    <w:rsid w:val="008C4EC3"/>
    <w:rsid w:val="008C62BB"/>
    <w:rsid w:val="008C6E1C"/>
    <w:rsid w:val="008C738F"/>
    <w:rsid w:val="008C7798"/>
    <w:rsid w:val="008D1919"/>
    <w:rsid w:val="008D288B"/>
    <w:rsid w:val="008D358B"/>
    <w:rsid w:val="008D4835"/>
    <w:rsid w:val="008D6BD0"/>
    <w:rsid w:val="008D6CA0"/>
    <w:rsid w:val="008D738E"/>
    <w:rsid w:val="008D795B"/>
    <w:rsid w:val="008D7C6C"/>
    <w:rsid w:val="008E01B5"/>
    <w:rsid w:val="008E070D"/>
    <w:rsid w:val="008E0AC3"/>
    <w:rsid w:val="008E0B05"/>
    <w:rsid w:val="008E0F39"/>
    <w:rsid w:val="008E14D4"/>
    <w:rsid w:val="008E16F3"/>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1A4C"/>
    <w:rsid w:val="008F277C"/>
    <w:rsid w:val="008F2A33"/>
    <w:rsid w:val="008F2D6A"/>
    <w:rsid w:val="008F2E42"/>
    <w:rsid w:val="008F460F"/>
    <w:rsid w:val="008F4A6E"/>
    <w:rsid w:val="008F4B91"/>
    <w:rsid w:val="008F59BA"/>
    <w:rsid w:val="008F61A7"/>
    <w:rsid w:val="008F6B5D"/>
    <w:rsid w:val="00900309"/>
    <w:rsid w:val="009004A4"/>
    <w:rsid w:val="009010D7"/>
    <w:rsid w:val="009018BF"/>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12F"/>
    <w:rsid w:val="009136FD"/>
    <w:rsid w:val="00914824"/>
    <w:rsid w:val="009157DF"/>
    <w:rsid w:val="00920756"/>
    <w:rsid w:val="009216C3"/>
    <w:rsid w:val="00921B3C"/>
    <w:rsid w:val="00922459"/>
    <w:rsid w:val="00922471"/>
    <w:rsid w:val="00923BFC"/>
    <w:rsid w:val="009245C3"/>
    <w:rsid w:val="00925DEB"/>
    <w:rsid w:val="009262DF"/>
    <w:rsid w:val="00926C08"/>
    <w:rsid w:val="00926D90"/>
    <w:rsid w:val="00930349"/>
    <w:rsid w:val="009304AC"/>
    <w:rsid w:val="00930FC1"/>
    <w:rsid w:val="00932D6B"/>
    <w:rsid w:val="00933995"/>
    <w:rsid w:val="00934A03"/>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0FAB"/>
    <w:rsid w:val="00951A3E"/>
    <w:rsid w:val="00951B8C"/>
    <w:rsid w:val="0095235C"/>
    <w:rsid w:val="009537F7"/>
    <w:rsid w:val="00953954"/>
    <w:rsid w:val="009540B8"/>
    <w:rsid w:val="009564EA"/>
    <w:rsid w:val="00956DBF"/>
    <w:rsid w:val="009574DF"/>
    <w:rsid w:val="00960E09"/>
    <w:rsid w:val="00961824"/>
    <w:rsid w:val="00962D7C"/>
    <w:rsid w:val="00963288"/>
    <w:rsid w:val="009632C2"/>
    <w:rsid w:val="00963511"/>
    <w:rsid w:val="0096407D"/>
    <w:rsid w:val="00964342"/>
    <w:rsid w:val="00964A5A"/>
    <w:rsid w:val="00964E00"/>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1D96"/>
    <w:rsid w:val="009825EC"/>
    <w:rsid w:val="00982A9F"/>
    <w:rsid w:val="009831D0"/>
    <w:rsid w:val="009831E7"/>
    <w:rsid w:val="0098328C"/>
    <w:rsid w:val="00983BF5"/>
    <w:rsid w:val="009845AE"/>
    <w:rsid w:val="00984CD1"/>
    <w:rsid w:val="0098530E"/>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B21"/>
    <w:rsid w:val="00997E0A"/>
    <w:rsid w:val="009A0A75"/>
    <w:rsid w:val="009A167D"/>
    <w:rsid w:val="009A198C"/>
    <w:rsid w:val="009A1D99"/>
    <w:rsid w:val="009A2C3D"/>
    <w:rsid w:val="009A3327"/>
    <w:rsid w:val="009A429D"/>
    <w:rsid w:val="009A4F71"/>
    <w:rsid w:val="009A5920"/>
    <w:rsid w:val="009A615A"/>
    <w:rsid w:val="009A76AA"/>
    <w:rsid w:val="009B05BB"/>
    <w:rsid w:val="009B153B"/>
    <w:rsid w:val="009B1571"/>
    <w:rsid w:val="009B2456"/>
    <w:rsid w:val="009B279B"/>
    <w:rsid w:val="009B2BBE"/>
    <w:rsid w:val="009B3279"/>
    <w:rsid w:val="009B42C8"/>
    <w:rsid w:val="009B4710"/>
    <w:rsid w:val="009B4CDE"/>
    <w:rsid w:val="009B51E4"/>
    <w:rsid w:val="009B542D"/>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5A66"/>
    <w:rsid w:val="009E6FCB"/>
    <w:rsid w:val="009F0007"/>
    <w:rsid w:val="009F0375"/>
    <w:rsid w:val="009F2308"/>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07E03"/>
    <w:rsid w:val="00A10574"/>
    <w:rsid w:val="00A106C7"/>
    <w:rsid w:val="00A10EB9"/>
    <w:rsid w:val="00A113DB"/>
    <w:rsid w:val="00A13122"/>
    <w:rsid w:val="00A14263"/>
    <w:rsid w:val="00A15968"/>
    <w:rsid w:val="00A15C22"/>
    <w:rsid w:val="00A15F6A"/>
    <w:rsid w:val="00A1600B"/>
    <w:rsid w:val="00A16558"/>
    <w:rsid w:val="00A172EF"/>
    <w:rsid w:val="00A17CF3"/>
    <w:rsid w:val="00A17D9C"/>
    <w:rsid w:val="00A17E5D"/>
    <w:rsid w:val="00A20650"/>
    <w:rsid w:val="00A2197A"/>
    <w:rsid w:val="00A24346"/>
    <w:rsid w:val="00A244C1"/>
    <w:rsid w:val="00A24DCB"/>
    <w:rsid w:val="00A250CF"/>
    <w:rsid w:val="00A255C5"/>
    <w:rsid w:val="00A264DA"/>
    <w:rsid w:val="00A3002A"/>
    <w:rsid w:val="00A300B4"/>
    <w:rsid w:val="00A30108"/>
    <w:rsid w:val="00A306DC"/>
    <w:rsid w:val="00A309B6"/>
    <w:rsid w:val="00A3175A"/>
    <w:rsid w:val="00A31DA4"/>
    <w:rsid w:val="00A32894"/>
    <w:rsid w:val="00A32A52"/>
    <w:rsid w:val="00A32C57"/>
    <w:rsid w:val="00A34E10"/>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ECB"/>
    <w:rsid w:val="00A51FFA"/>
    <w:rsid w:val="00A52673"/>
    <w:rsid w:val="00A55C0B"/>
    <w:rsid w:val="00A56CDE"/>
    <w:rsid w:val="00A574DB"/>
    <w:rsid w:val="00A57EAA"/>
    <w:rsid w:val="00A606A7"/>
    <w:rsid w:val="00A60FB7"/>
    <w:rsid w:val="00A612B4"/>
    <w:rsid w:val="00A61754"/>
    <w:rsid w:val="00A62A6D"/>
    <w:rsid w:val="00A63128"/>
    <w:rsid w:val="00A63965"/>
    <w:rsid w:val="00A63A94"/>
    <w:rsid w:val="00A640CC"/>
    <w:rsid w:val="00A6463F"/>
    <w:rsid w:val="00A65CB9"/>
    <w:rsid w:val="00A65D5B"/>
    <w:rsid w:val="00A660BA"/>
    <w:rsid w:val="00A673CD"/>
    <w:rsid w:val="00A674F7"/>
    <w:rsid w:val="00A67ACE"/>
    <w:rsid w:val="00A67CC0"/>
    <w:rsid w:val="00A67FFD"/>
    <w:rsid w:val="00A702E1"/>
    <w:rsid w:val="00A70D25"/>
    <w:rsid w:val="00A722A4"/>
    <w:rsid w:val="00A7278D"/>
    <w:rsid w:val="00A73876"/>
    <w:rsid w:val="00A73F21"/>
    <w:rsid w:val="00A746B6"/>
    <w:rsid w:val="00A750C9"/>
    <w:rsid w:val="00A75F92"/>
    <w:rsid w:val="00A76974"/>
    <w:rsid w:val="00A76C2A"/>
    <w:rsid w:val="00A77681"/>
    <w:rsid w:val="00A7791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5956"/>
    <w:rsid w:val="00A96CDF"/>
    <w:rsid w:val="00A979DE"/>
    <w:rsid w:val="00A97D8C"/>
    <w:rsid w:val="00AA0AD4"/>
    <w:rsid w:val="00AA0B93"/>
    <w:rsid w:val="00AA139B"/>
    <w:rsid w:val="00AA15EE"/>
    <w:rsid w:val="00AA1D5D"/>
    <w:rsid w:val="00AA1E00"/>
    <w:rsid w:val="00AA2BA5"/>
    <w:rsid w:val="00AA2BD8"/>
    <w:rsid w:val="00AA45C6"/>
    <w:rsid w:val="00AA597A"/>
    <w:rsid w:val="00AA608F"/>
    <w:rsid w:val="00AA7530"/>
    <w:rsid w:val="00AA7999"/>
    <w:rsid w:val="00AA7DBB"/>
    <w:rsid w:val="00AB0438"/>
    <w:rsid w:val="00AB076B"/>
    <w:rsid w:val="00AB10A8"/>
    <w:rsid w:val="00AB1449"/>
    <w:rsid w:val="00AB209E"/>
    <w:rsid w:val="00AB2FA6"/>
    <w:rsid w:val="00AB5B8F"/>
    <w:rsid w:val="00AB5FB1"/>
    <w:rsid w:val="00AB6E6B"/>
    <w:rsid w:val="00AB7A00"/>
    <w:rsid w:val="00AB7BBB"/>
    <w:rsid w:val="00AC0407"/>
    <w:rsid w:val="00AC0F6F"/>
    <w:rsid w:val="00AC2109"/>
    <w:rsid w:val="00AC3C28"/>
    <w:rsid w:val="00AC3EE7"/>
    <w:rsid w:val="00AC4044"/>
    <w:rsid w:val="00AC5972"/>
    <w:rsid w:val="00AC697B"/>
    <w:rsid w:val="00AC6C01"/>
    <w:rsid w:val="00AC6FF9"/>
    <w:rsid w:val="00AC75F0"/>
    <w:rsid w:val="00AC77B3"/>
    <w:rsid w:val="00AD0987"/>
    <w:rsid w:val="00AD0ADD"/>
    <w:rsid w:val="00AD1533"/>
    <w:rsid w:val="00AD3CA1"/>
    <w:rsid w:val="00AD420D"/>
    <w:rsid w:val="00AD471B"/>
    <w:rsid w:val="00AD4CF5"/>
    <w:rsid w:val="00AD649B"/>
    <w:rsid w:val="00AD70AD"/>
    <w:rsid w:val="00AE0673"/>
    <w:rsid w:val="00AE0D1E"/>
    <w:rsid w:val="00AE2627"/>
    <w:rsid w:val="00AE2F37"/>
    <w:rsid w:val="00AE2FA9"/>
    <w:rsid w:val="00AE3591"/>
    <w:rsid w:val="00AE5219"/>
    <w:rsid w:val="00AE540C"/>
    <w:rsid w:val="00AE586B"/>
    <w:rsid w:val="00AE73D9"/>
    <w:rsid w:val="00AE76C6"/>
    <w:rsid w:val="00AE7D58"/>
    <w:rsid w:val="00AF161B"/>
    <w:rsid w:val="00AF2E99"/>
    <w:rsid w:val="00AF3663"/>
    <w:rsid w:val="00AF3EC4"/>
    <w:rsid w:val="00AF4C0D"/>
    <w:rsid w:val="00AF5687"/>
    <w:rsid w:val="00AF5E56"/>
    <w:rsid w:val="00AF6042"/>
    <w:rsid w:val="00AF67A0"/>
    <w:rsid w:val="00B0062B"/>
    <w:rsid w:val="00B00D66"/>
    <w:rsid w:val="00B012E0"/>
    <w:rsid w:val="00B01994"/>
    <w:rsid w:val="00B03C33"/>
    <w:rsid w:val="00B0418D"/>
    <w:rsid w:val="00B07089"/>
    <w:rsid w:val="00B07BBB"/>
    <w:rsid w:val="00B07CB8"/>
    <w:rsid w:val="00B104C0"/>
    <w:rsid w:val="00B1147F"/>
    <w:rsid w:val="00B121E7"/>
    <w:rsid w:val="00B12497"/>
    <w:rsid w:val="00B12C6A"/>
    <w:rsid w:val="00B16269"/>
    <w:rsid w:val="00B16C43"/>
    <w:rsid w:val="00B20585"/>
    <w:rsid w:val="00B20D67"/>
    <w:rsid w:val="00B21596"/>
    <w:rsid w:val="00B21927"/>
    <w:rsid w:val="00B2204D"/>
    <w:rsid w:val="00B224CD"/>
    <w:rsid w:val="00B22D07"/>
    <w:rsid w:val="00B22F27"/>
    <w:rsid w:val="00B23170"/>
    <w:rsid w:val="00B2359A"/>
    <w:rsid w:val="00B23F88"/>
    <w:rsid w:val="00B246D4"/>
    <w:rsid w:val="00B24B2C"/>
    <w:rsid w:val="00B25390"/>
    <w:rsid w:val="00B27781"/>
    <w:rsid w:val="00B27BDA"/>
    <w:rsid w:val="00B3033B"/>
    <w:rsid w:val="00B30B69"/>
    <w:rsid w:val="00B31DA8"/>
    <w:rsid w:val="00B324EA"/>
    <w:rsid w:val="00B32A6B"/>
    <w:rsid w:val="00B32C91"/>
    <w:rsid w:val="00B32DFF"/>
    <w:rsid w:val="00B34464"/>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5322"/>
    <w:rsid w:val="00B47880"/>
    <w:rsid w:val="00B478F8"/>
    <w:rsid w:val="00B50C7A"/>
    <w:rsid w:val="00B50E40"/>
    <w:rsid w:val="00B51627"/>
    <w:rsid w:val="00B51C8A"/>
    <w:rsid w:val="00B520AF"/>
    <w:rsid w:val="00B53047"/>
    <w:rsid w:val="00B53882"/>
    <w:rsid w:val="00B53CF0"/>
    <w:rsid w:val="00B53D02"/>
    <w:rsid w:val="00B5403D"/>
    <w:rsid w:val="00B54473"/>
    <w:rsid w:val="00B54CD1"/>
    <w:rsid w:val="00B55323"/>
    <w:rsid w:val="00B55512"/>
    <w:rsid w:val="00B55667"/>
    <w:rsid w:val="00B56E31"/>
    <w:rsid w:val="00B57143"/>
    <w:rsid w:val="00B6036F"/>
    <w:rsid w:val="00B60564"/>
    <w:rsid w:val="00B621F2"/>
    <w:rsid w:val="00B62E1A"/>
    <w:rsid w:val="00B6301C"/>
    <w:rsid w:val="00B63E55"/>
    <w:rsid w:val="00B63F94"/>
    <w:rsid w:val="00B66328"/>
    <w:rsid w:val="00B669BE"/>
    <w:rsid w:val="00B67088"/>
    <w:rsid w:val="00B70078"/>
    <w:rsid w:val="00B70517"/>
    <w:rsid w:val="00B70B92"/>
    <w:rsid w:val="00B710C9"/>
    <w:rsid w:val="00B71111"/>
    <w:rsid w:val="00B71768"/>
    <w:rsid w:val="00B726AC"/>
    <w:rsid w:val="00B733B3"/>
    <w:rsid w:val="00B74A19"/>
    <w:rsid w:val="00B74E31"/>
    <w:rsid w:val="00B75E14"/>
    <w:rsid w:val="00B76260"/>
    <w:rsid w:val="00B824A9"/>
    <w:rsid w:val="00B824E5"/>
    <w:rsid w:val="00B82FF1"/>
    <w:rsid w:val="00B83545"/>
    <w:rsid w:val="00B839D5"/>
    <w:rsid w:val="00B83E0D"/>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97E28"/>
    <w:rsid w:val="00BA019F"/>
    <w:rsid w:val="00BA058D"/>
    <w:rsid w:val="00BA060B"/>
    <w:rsid w:val="00BA1918"/>
    <w:rsid w:val="00BA1A75"/>
    <w:rsid w:val="00BA20E7"/>
    <w:rsid w:val="00BA21EE"/>
    <w:rsid w:val="00BA2819"/>
    <w:rsid w:val="00BA5710"/>
    <w:rsid w:val="00BA62DD"/>
    <w:rsid w:val="00BA72AC"/>
    <w:rsid w:val="00BA77A4"/>
    <w:rsid w:val="00BB04DB"/>
    <w:rsid w:val="00BB1AB6"/>
    <w:rsid w:val="00BB2332"/>
    <w:rsid w:val="00BB2819"/>
    <w:rsid w:val="00BB68F5"/>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0504"/>
    <w:rsid w:val="00C042D0"/>
    <w:rsid w:val="00C04B14"/>
    <w:rsid w:val="00C04E29"/>
    <w:rsid w:val="00C04E2E"/>
    <w:rsid w:val="00C04E57"/>
    <w:rsid w:val="00C051BA"/>
    <w:rsid w:val="00C052EE"/>
    <w:rsid w:val="00C05EE4"/>
    <w:rsid w:val="00C0644F"/>
    <w:rsid w:val="00C07A54"/>
    <w:rsid w:val="00C10D15"/>
    <w:rsid w:val="00C112F7"/>
    <w:rsid w:val="00C11C8D"/>
    <w:rsid w:val="00C126BC"/>
    <w:rsid w:val="00C15721"/>
    <w:rsid w:val="00C15825"/>
    <w:rsid w:val="00C15AA8"/>
    <w:rsid w:val="00C16031"/>
    <w:rsid w:val="00C16C65"/>
    <w:rsid w:val="00C175F7"/>
    <w:rsid w:val="00C1775C"/>
    <w:rsid w:val="00C17903"/>
    <w:rsid w:val="00C20C9F"/>
    <w:rsid w:val="00C21A3E"/>
    <w:rsid w:val="00C236A7"/>
    <w:rsid w:val="00C23CFE"/>
    <w:rsid w:val="00C24C51"/>
    <w:rsid w:val="00C24CEB"/>
    <w:rsid w:val="00C24DDB"/>
    <w:rsid w:val="00C25236"/>
    <w:rsid w:val="00C27F40"/>
    <w:rsid w:val="00C30CE9"/>
    <w:rsid w:val="00C318C4"/>
    <w:rsid w:val="00C32DDB"/>
    <w:rsid w:val="00C33386"/>
    <w:rsid w:val="00C33E26"/>
    <w:rsid w:val="00C33FBA"/>
    <w:rsid w:val="00C3495D"/>
    <w:rsid w:val="00C354A9"/>
    <w:rsid w:val="00C36030"/>
    <w:rsid w:val="00C36231"/>
    <w:rsid w:val="00C364DE"/>
    <w:rsid w:val="00C36DAD"/>
    <w:rsid w:val="00C36ED2"/>
    <w:rsid w:val="00C372B8"/>
    <w:rsid w:val="00C37D41"/>
    <w:rsid w:val="00C40BAB"/>
    <w:rsid w:val="00C40F37"/>
    <w:rsid w:val="00C42BEC"/>
    <w:rsid w:val="00C439FE"/>
    <w:rsid w:val="00C448C9"/>
    <w:rsid w:val="00C45678"/>
    <w:rsid w:val="00C45933"/>
    <w:rsid w:val="00C46DC2"/>
    <w:rsid w:val="00C4703E"/>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57219"/>
    <w:rsid w:val="00C60064"/>
    <w:rsid w:val="00C608C8"/>
    <w:rsid w:val="00C60ECA"/>
    <w:rsid w:val="00C6208E"/>
    <w:rsid w:val="00C647C0"/>
    <w:rsid w:val="00C651F4"/>
    <w:rsid w:val="00C65410"/>
    <w:rsid w:val="00C6559B"/>
    <w:rsid w:val="00C65EC2"/>
    <w:rsid w:val="00C668F6"/>
    <w:rsid w:val="00C67F3E"/>
    <w:rsid w:val="00C67FE7"/>
    <w:rsid w:val="00C70910"/>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005"/>
    <w:rsid w:val="00CB1E8E"/>
    <w:rsid w:val="00CB2850"/>
    <w:rsid w:val="00CB2C8B"/>
    <w:rsid w:val="00CB3376"/>
    <w:rsid w:val="00CB35B3"/>
    <w:rsid w:val="00CB3F06"/>
    <w:rsid w:val="00CB42F5"/>
    <w:rsid w:val="00CB4B05"/>
    <w:rsid w:val="00CB4BB9"/>
    <w:rsid w:val="00CB594F"/>
    <w:rsid w:val="00CB5BA1"/>
    <w:rsid w:val="00CB6164"/>
    <w:rsid w:val="00CB66CF"/>
    <w:rsid w:val="00CB6784"/>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2DE"/>
    <w:rsid w:val="00D10698"/>
    <w:rsid w:val="00D107FE"/>
    <w:rsid w:val="00D11BAF"/>
    <w:rsid w:val="00D131FD"/>
    <w:rsid w:val="00D13483"/>
    <w:rsid w:val="00D14888"/>
    <w:rsid w:val="00D1688B"/>
    <w:rsid w:val="00D16AAA"/>
    <w:rsid w:val="00D16C2D"/>
    <w:rsid w:val="00D16DFD"/>
    <w:rsid w:val="00D17C19"/>
    <w:rsid w:val="00D2042B"/>
    <w:rsid w:val="00D2128D"/>
    <w:rsid w:val="00D2152E"/>
    <w:rsid w:val="00D219F0"/>
    <w:rsid w:val="00D22010"/>
    <w:rsid w:val="00D22767"/>
    <w:rsid w:val="00D22E3F"/>
    <w:rsid w:val="00D23516"/>
    <w:rsid w:val="00D23717"/>
    <w:rsid w:val="00D23B47"/>
    <w:rsid w:val="00D23FC0"/>
    <w:rsid w:val="00D256D7"/>
    <w:rsid w:val="00D26E3E"/>
    <w:rsid w:val="00D27E35"/>
    <w:rsid w:val="00D30923"/>
    <w:rsid w:val="00D318F0"/>
    <w:rsid w:val="00D321A3"/>
    <w:rsid w:val="00D33466"/>
    <w:rsid w:val="00D34DC9"/>
    <w:rsid w:val="00D356EF"/>
    <w:rsid w:val="00D35FDE"/>
    <w:rsid w:val="00D36107"/>
    <w:rsid w:val="00D36335"/>
    <w:rsid w:val="00D364AE"/>
    <w:rsid w:val="00D36E88"/>
    <w:rsid w:val="00D36EAE"/>
    <w:rsid w:val="00D37075"/>
    <w:rsid w:val="00D40A62"/>
    <w:rsid w:val="00D4147D"/>
    <w:rsid w:val="00D4197B"/>
    <w:rsid w:val="00D421F7"/>
    <w:rsid w:val="00D44A4B"/>
    <w:rsid w:val="00D45022"/>
    <w:rsid w:val="00D4549F"/>
    <w:rsid w:val="00D475D7"/>
    <w:rsid w:val="00D47B18"/>
    <w:rsid w:val="00D47BA7"/>
    <w:rsid w:val="00D5004A"/>
    <w:rsid w:val="00D51321"/>
    <w:rsid w:val="00D53333"/>
    <w:rsid w:val="00D544B0"/>
    <w:rsid w:val="00D54721"/>
    <w:rsid w:val="00D5489E"/>
    <w:rsid w:val="00D54CA6"/>
    <w:rsid w:val="00D55B1C"/>
    <w:rsid w:val="00D5648B"/>
    <w:rsid w:val="00D56797"/>
    <w:rsid w:val="00D56A35"/>
    <w:rsid w:val="00D5786D"/>
    <w:rsid w:val="00D57E41"/>
    <w:rsid w:val="00D602DD"/>
    <w:rsid w:val="00D60DF6"/>
    <w:rsid w:val="00D61C4F"/>
    <w:rsid w:val="00D628D8"/>
    <w:rsid w:val="00D63433"/>
    <w:rsid w:val="00D63DB6"/>
    <w:rsid w:val="00D63EFC"/>
    <w:rsid w:val="00D645DF"/>
    <w:rsid w:val="00D6503C"/>
    <w:rsid w:val="00D655B4"/>
    <w:rsid w:val="00D65A64"/>
    <w:rsid w:val="00D71035"/>
    <w:rsid w:val="00D71341"/>
    <w:rsid w:val="00D71B1E"/>
    <w:rsid w:val="00D71DDC"/>
    <w:rsid w:val="00D73AC4"/>
    <w:rsid w:val="00D73AD4"/>
    <w:rsid w:val="00D74203"/>
    <w:rsid w:val="00D7714D"/>
    <w:rsid w:val="00D7756C"/>
    <w:rsid w:val="00D77A32"/>
    <w:rsid w:val="00D80037"/>
    <w:rsid w:val="00D800D1"/>
    <w:rsid w:val="00D80103"/>
    <w:rsid w:val="00D8107B"/>
    <w:rsid w:val="00D810A3"/>
    <w:rsid w:val="00D811B6"/>
    <w:rsid w:val="00D8147D"/>
    <w:rsid w:val="00D824C7"/>
    <w:rsid w:val="00D832F3"/>
    <w:rsid w:val="00D83409"/>
    <w:rsid w:val="00D84D49"/>
    <w:rsid w:val="00D86178"/>
    <w:rsid w:val="00D86214"/>
    <w:rsid w:val="00D868F5"/>
    <w:rsid w:val="00D8696E"/>
    <w:rsid w:val="00D8709E"/>
    <w:rsid w:val="00D87D41"/>
    <w:rsid w:val="00D87EF4"/>
    <w:rsid w:val="00D906F0"/>
    <w:rsid w:val="00D91607"/>
    <w:rsid w:val="00D91D6B"/>
    <w:rsid w:val="00D92294"/>
    <w:rsid w:val="00D94246"/>
    <w:rsid w:val="00D943CD"/>
    <w:rsid w:val="00D94D12"/>
    <w:rsid w:val="00D968C3"/>
    <w:rsid w:val="00DA01A8"/>
    <w:rsid w:val="00DA0622"/>
    <w:rsid w:val="00DA155E"/>
    <w:rsid w:val="00DA1BF1"/>
    <w:rsid w:val="00DA1F38"/>
    <w:rsid w:val="00DA2BE9"/>
    <w:rsid w:val="00DA2D41"/>
    <w:rsid w:val="00DA3902"/>
    <w:rsid w:val="00DA3F96"/>
    <w:rsid w:val="00DA48CA"/>
    <w:rsid w:val="00DA5DA3"/>
    <w:rsid w:val="00DA660C"/>
    <w:rsid w:val="00DA6670"/>
    <w:rsid w:val="00DB16F5"/>
    <w:rsid w:val="00DB2A64"/>
    <w:rsid w:val="00DB33F6"/>
    <w:rsid w:val="00DB35B3"/>
    <w:rsid w:val="00DB3CD0"/>
    <w:rsid w:val="00DB4184"/>
    <w:rsid w:val="00DB55E5"/>
    <w:rsid w:val="00DB6500"/>
    <w:rsid w:val="00DB66AA"/>
    <w:rsid w:val="00DB6754"/>
    <w:rsid w:val="00DB6A73"/>
    <w:rsid w:val="00DB753D"/>
    <w:rsid w:val="00DB7C0A"/>
    <w:rsid w:val="00DC1A41"/>
    <w:rsid w:val="00DC2400"/>
    <w:rsid w:val="00DC27A2"/>
    <w:rsid w:val="00DC3311"/>
    <w:rsid w:val="00DC355B"/>
    <w:rsid w:val="00DC3E5D"/>
    <w:rsid w:val="00DC5B82"/>
    <w:rsid w:val="00DC600F"/>
    <w:rsid w:val="00DC702F"/>
    <w:rsid w:val="00DC7137"/>
    <w:rsid w:val="00DC7B79"/>
    <w:rsid w:val="00DD017D"/>
    <w:rsid w:val="00DD0A08"/>
    <w:rsid w:val="00DD17A9"/>
    <w:rsid w:val="00DD1E6B"/>
    <w:rsid w:val="00DD333D"/>
    <w:rsid w:val="00DD3B00"/>
    <w:rsid w:val="00DD4168"/>
    <w:rsid w:val="00DD432D"/>
    <w:rsid w:val="00DD5550"/>
    <w:rsid w:val="00DD6133"/>
    <w:rsid w:val="00DD6987"/>
    <w:rsid w:val="00DE0F4F"/>
    <w:rsid w:val="00DE1715"/>
    <w:rsid w:val="00DE181B"/>
    <w:rsid w:val="00DE22DD"/>
    <w:rsid w:val="00DE2E9B"/>
    <w:rsid w:val="00DE301B"/>
    <w:rsid w:val="00DE4862"/>
    <w:rsid w:val="00DE4CB8"/>
    <w:rsid w:val="00DE4D45"/>
    <w:rsid w:val="00DE54BD"/>
    <w:rsid w:val="00DE55DC"/>
    <w:rsid w:val="00DE6265"/>
    <w:rsid w:val="00DE6858"/>
    <w:rsid w:val="00DF0F23"/>
    <w:rsid w:val="00DF1C8C"/>
    <w:rsid w:val="00DF251E"/>
    <w:rsid w:val="00DF2BEB"/>
    <w:rsid w:val="00DF34BE"/>
    <w:rsid w:val="00DF356A"/>
    <w:rsid w:val="00DF375C"/>
    <w:rsid w:val="00DF3826"/>
    <w:rsid w:val="00DF3AC4"/>
    <w:rsid w:val="00DF3E2C"/>
    <w:rsid w:val="00DF457A"/>
    <w:rsid w:val="00DF4E0E"/>
    <w:rsid w:val="00DF615E"/>
    <w:rsid w:val="00DF6F20"/>
    <w:rsid w:val="00DF7351"/>
    <w:rsid w:val="00DF76BE"/>
    <w:rsid w:val="00DF79D3"/>
    <w:rsid w:val="00E00479"/>
    <w:rsid w:val="00E00C61"/>
    <w:rsid w:val="00E0123D"/>
    <w:rsid w:val="00E02C4B"/>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D52"/>
    <w:rsid w:val="00E13E54"/>
    <w:rsid w:val="00E13FD5"/>
    <w:rsid w:val="00E14498"/>
    <w:rsid w:val="00E1493B"/>
    <w:rsid w:val="00E14D32"/>
    <w:rsid w:val="00E14E8B"/>
    <w:rsid w:val="00E15595"/>
    <w:rsid w:val="00E15E0C"/>
    <w:rsid w:val="00E1662B"/>
    <w:rsid w:val="00E202D4"/>
    <w:rsid w:val="00E20779"/>
    <w:rsid w:val="00E215D6"/>
    <w:rsid w:val="00E21743"/>
    <w:rsid w:val="00E22424"/>
    <w:rsid w:val="00E23D15"/>
    <w:rsid w:val="00E25D58"/>
    <w:rsid w:val="00E25E3B"/>
    <w:rsid w:val="00E26D6F"/>
    <w:rsid w:val="00E31F2E"/>
    <w:rsid w:val="00E34151"/>
    <w:rsid w:val="00E34327"/>
    <w:rsid w:val="00E356D2"/>
    <w:rsid w:val="00E35D86"/>
    <w:rsid w:val="00E35E63"/>
    <w:rsid w:val="00E36ACF"/>
    <w:rsid w:val="00E36DEB"/>
    <w:rsid w:val="00E3708D"/>
    <w:rsid w:val="00E37B16"/>
    <w:rsid w:val="00E37E2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50D"/>
    <w:rsid w:val="00E61E87"/>
    <w:rsid w:val="00E6315A"/>
    <w:rsid w:val="00E63353"/>
    <w:rsid w:val="00E64E04"/>
    <w:rsid w:val="00E65401"/>
    <w:rsid w:val="00E66F29"/>
    <w:rsid w:val="00E677D4"/>
    <w:rsid w:val="00E706A3"/>
    <w:rsid w:val="00E71281"/>
    <w:rsid w:val="00E71974"/>
    <w:rsid w:val="00E72DB9"/>
    <w:rsid w:val="00E743F4"/>
    <w:rsid w:val="00E745A8"/>
    <w:rsid w:val="00E750C2"/>
    <w:rsid w:val="00E75428"/>
    <w:rsid w:val="00E75AB5"/>
    <w:rsid w:val="00E75E75"/>
    <w:rsid w:val="00E76078"/>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2D79"/>
    <w:rsid w:val="00E941A5"/>
    <w:rsid w:val="00E94215"/>
    <w:rsid w:val="00E94575"/>
    <w:rsid w:val="00E96DD4"/>
    <w:rsid w:val="00E97953"/>
    <w:rsid w:val="00E97ADA"/>
    <w:rsid w:val="00E97B73"/>
    <w:rsid w:val="00EA0020"/>
    <w:rsid w:val="00EA0F08"/>
    <w:rsid w:val="00EA32D3"/>
    <w:rsid w:val="00EA40C0"/>
    <w:rsid w:val="00EA46D7"/>
    <w:rsid w:val="00EA4D12"/>
    <w:rsid w:val="00EA4F72"/>
    <w:rsid w:val="00EA5D90"/>
    <w:rsid w:val="00EA5F92"/>
    <w:rsid w:val="00EB0FD5"/>
    <w:rsid w:val="00EB2FD6"/>
    <w:rsid w:val="00EB398A"/>
    <w:rsid w:val="00EB4772"/>
    <w:rsid w:val="00EB5445"/>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46CA"/>
    <w:rsid w:val="00EF56F8"/>
    <w:rsid w:val="00EF707D"/>
    <w:rsid w:val="00EF7638"/>
    <w:rsid w:val="00EF7E18"/>
    <w:rsid w:val="00F005C6"/>
    <w:rsid w:val="00F0069E"/>
    <w:rsid w:val="00F00863"/>
    <w:rsid w:val="00F00FB0"/>
    <w:rsid w:val="00F00FD6"/>
    <w:rsid w:val="00F017B5"/>
    <w:rsid w:val="00F02F73"/>
    <w:rsid w:val="00F0304E"/>
    <w:rsid w:val="00F036D2"/>
    <w:rsid w:val="00F04AFD"/>
    <w:rsid w:val="00F04F80"/>
    <w:rsid w:val="00F072BE"/>
    <w:rsid w:val="00F110A1"/>
    <w:rsid w:val="00F130F2"/>
    <w:rsid w:val="00F154FC"/>
    <w:rsid w:val="00F1624A"/>
    <w:rsid w:val="00F171B6"/>
    <w:rsid w:val="00F172B7"/>
    <w:rsid w:val="00F2017B"/>
    <w:rsid w:val="00F20769"/>
    <w:rsid w:val="00F22B9D"/>
    <w:rsid w:val="00F233AC"/>
    <w:rsid w:val="00F2347D"/>
    <w:rsid w:val="00F23511"/>
    <w:rsid w:val="00F253CB"/>
    <w:rsid w:val="00F25760"/>
    <w:rsid w:val="00F26537"/>
    <w:rsid w:val="00F26958"/>
    <w:rsid w:val="00F26A60"/>
    <w:rsid w:val="00F271EF"/>
    <w:rsid w:val="00F27420"/>
    <w:rsid w:val="00F300F4"/>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1533"/>
    <w:rsid w:val="00F43038"/>
    <w:rsid w:val="00F4387D"/>
    <w:rsid w:val="00F43BEA"/>
    <w:rsid w:val="00F44549"/>
    <w:rsid w:val="00F448CC"/>
    <w:rsid w:val="00F46E9B"/>
    <w:rsid w:val="00F4712A"/>
    <w:rsid w:val="00F47188"/>
    <w:rsid w:val="00F50D02"/>
    <w:rsid w:val="00F53550"/>
    <w:rsid w:val="00F53ED4"/>
    <w:rsid w:val="00F53F99"/>
    <w:rsid w:val="00F543D3"/>
    <w:rsid w:val="00F54D09"/>
    <w:rsid w:val="00F5598F"/>
    <w:rsid w:val="00F56261"/>
    <w:rsid w:val="00F56C8B"/>
    <w:rsid w:val="00F57550"/>
    <w:rsid w:val="00F5792D"/>
    <w:rsid w:val="00F6026D"/>
    <w:rsid w:val="00F635A8"/>
    <w:rsid w:val="00F63BED"/>
    <w:rsid w:val="00F64EBE"/>
    <w:rsid w:val="00F65808"/>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277A"/>
    <w:rsid w:val="00F93540"/>
    <w:rsid w:val="00F9355F"/>
    <w:rsid w:val="00F95F2F"/>
    <w:rsid w:val="00F962A1"/>
    <w:rsid w:val="00F964DB"/>
    <w:rsid w:val="00F96895"/>
    <w:rsid w:val="00F97454"/>
    <w:rsid w:val="00F97777"/>
    <w:rsid w:val="00FA1231"/>
    <w:rsid w:val="00FA1235"/>
    <w:rsid w:val="00FA1386"/>
    <w:rsid w:val="00FA1C08"/>
    <w:rsid w:val="00FA3054"/>
    <w:rsid w:val="00FA563D"/>
    <w:rsid w:val="00FA57CA"/>
    <w:rsid w:val="00FA57DF"/>
    <w:rsid w:val="00FA5BF7"/>
    <w:rsid w:val="00FA5F84"/>
    <w:rsid w:val="00FA6BBE"/>
    <w:rsid w:val="00FA75CC"/>
    <w:rsid w:val="00FA7D95"/>
    <w:rsid w:val="00FB23CB"/>
    <w:rsid w:val="00FB3728"/>
    <w:rsid w:val="00FB39C6"/>
    <w:rsid w:val="00FB4073"/>
    <w:rsid w:val="00FC0BD2"/>
    <w:rsid w:val="00FC1384"/>
    <w:rsid w:val="00FC1DEA"/>
    <w:rsid w:val="00FC1F47"/>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164"/>
    <w:rsid w:val="00FD6BEA"/>
    <w:rsid w:val="00FD72B2"/>
    <w:rsid w:val="00FE039B"/>
    <w:rsid w:val="00FE2000"/>
    <w:rsid w:val="00FE22EA"/>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022">
      <w:bodyDiv w:val="1"/>
      <w:marLeft w:val="0"/>
      <w:marRight w:val="0"/>
      <w:marTop w:val="0"/>
      <w:marBottom w:val="0"/>
      <w:divBdr>
        <w:top w:val="none" w:sz="0" w:space="0" w:color="auto"/>
        <w:left w:val="none" w:sz="0" w:space="0" w:color="auto"/>
        <w:bottom w:val="none" w:sz="0" w:space="0" w:color="auto"/>
        <w:right w:val="none" w:sz="0" w:space="0" w:color="auto"/>
      </w:divBdr>
    </w:div>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443423115">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3826592">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979719455">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sChild>
    </w:div>
    <w:div w:id="755597251">
      <w:bodyDiv w:val="1"/>
      <w:marLeft w:val="0"/>
      <w:marRight w:val="0"/>
      <w:marTop w:val="0"/>
      <w:marBottom w:val="0"/>
      <w:divBdr>
        <w:top w:val="none" w:sz="0" w:space="0" w:color="auto"/>
        <w:left w:val="none" w:sz="0" w:space="0" w:color="auto"/>
        <w:bottom w:val="none" w:sz="0" w:space="0" w:color="auto"/>
        <w:right w:val="none" w:sz="0" w:space="0" w:color="auto"/>
      </w:divBdr>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 w:id="17582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1A1E6-F62C-4FF2-B922-4E37CDB6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4752</TotalTime>
  <Pages>4</Pages>
  <Words>1303</Words>
  <Characters>7171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Joëlle</dc:creator>
  <cp:keywords/>
  <dc:description/>
  <cp:lastModifiedBy>Hachette Livre</cp:lastModifiedBy>
  <cp:revision>1</cp:revision>
  <cp:lastPrinted>2015-10-08T07:53:00Z</cp:lastPrinted>
  <dcterms:created xsi:type="dcterms:W3CDTF">2014-04-30T08:18:00Z</dcterms:created>
  <dcterms:modified xsi:type="dcterms:W3CDTF">2015-10-12T11:58:00Z</dcterms:modified>
</cp:coreProperties>
</file>