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1C" w:rsidRPr="00FC60DB" w:rsidRDefault="0028061C" w:rsidP="0028061C">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FC60DB">
        <w:rPr>
          <w:rFonts w:ascii="Times New Roman" w:eastAsia="Times New Roman" w:hAnsi="Times New Roman" w:cs="Times New Roman"/>
          <w:b/>
          <w:bCs/>
          <w:kern w:val="36"/>
          <w:sz w:val="32"/>
          <w:szCs w:val="32"/>
          <w:lang w:eastAsia="fr-FR"/>
        </w:rPr>
        <w:t>Les autoroutes, machines à profit</w:t>
      </w:r>
    </w:p>
    <w:p w:rsidR="0028061C" w:rsidRDefault="0028061C" w:rsidP="0028061C">
      <w:pPr>
        <w:pStyle w:val="Sansinterligne"/>
        <w:jc w:val="right"/>
        <w:rPr>
          <w:rFonts w:ascii="Times New Roman" w:hAnsi="Times New Roman" w:cs="Times New Roman"/>
          <w:sz w:val="24"/>
          <w:szCs w:val="24"/>
        </w:rPr>
      </w:pPr>
      <w:r w:rsidRPr="00B8218A">
        <w:rPr>
          <w:rFonts w:ascii="Times New Roman" w:hAnsi="Times New Roman" w:cs="Times New Roman"/>
          <w:i/>
          <w:sz w:val="24"/>
          <w:szCs w:val="24"/>
        </w:rPr>
        <w:t>La Croix</w:t>
      </w:r>
      <w:r>
        <w:rPr>
          <w:rFonts w:ascii="Times New Roman" w:hAnsi="Times New Roman" w:cs="Times New Roman"/>
          <w:sz w:val="24"/>
          <w:szCs w:val="24"/>
        </w:rPr>
        <w:t>, 18</w:t>
      </w:r>
      <w:r w:rsidR="00B8218A">
        <w:rPr>
          <w:rFonts w:ascii="Times New Roman" w:hAnsi="Times New Roman" w:cs="Times New Roman"/>
          <w:sz w:val="24"/>
          <w:szCs w:val="24"/>
        </w:rPr>
        <w:t> </w:t>
      </w:r>
      <w:r>
        <w:rPr>
          <w:rFonts w:ascii="Times New Roman" w:hAnsi="Times New Roman" w:cs="Times New Roman"/>
          <w:sz w:val="24"/>
          <w:szCs w:val="24"/>
        </w:rPr>
        <w:t>septembre 2014</w:t>
      </w:r>
    </w:p>
    <w:p w:rsidR="0028061C" w:rsidRDefault="0028061C" w:rsidP="0028061C">
      <w:pPr>
        <w:pStyle w:val="Sansinterligne"/>
        <w:rPr>
          <w:rFonts w:ascii="Times New Roman" w:hAnsi="Times New Roman" w:cs="Times New Roman"/>
          <w:sz w:val="24"/>
          <w:szCs w:val="24"/>
        </w:rPr>
      </w:pPr>
    </w:p>
    <w:p w:rsidR="0028061C" w:rsidRPr="00E42137" w:rsidRDefault="0028061C" w:rsidP="0028061C">
      <w:pPr>
        <w:pStyle w:val="Sansinterligne"/>
        <w:rPr>
          <w:rFonts w:ascii="Times New Roman" w:hAnsi="Times New Roman" w:cs="Times New Roman"/>
          <w:b/>
          <w:sz w:val="24"/>
          <w:szCs w:val="24"/>
        </w:rPr>
      </w:pPr>
      <w:r w:rsidRPr="00E42137">
        <w:rPr>
          <w:rFonts w:ascii="Times New Roman" w:hAnsi="Times New Roman" w:cs="Times New Roman"/>
          <w:b/>
          <w:sz w:val="24"/>
          <w:szCs w:val="24"/>
        </w:rPr>
        <w:t>C’est une charge d’une rare violence que livre l’Autorité de la concurrence contre les sociétés d’autoroutes. Dans un avis, publié jeudi 18 septembre, elle les accuse d’être assises sur « une rente », qui devrait être partagée, selon elle, avec l’État et les usagers.</w:t>
      </w:r>
    </w:p>
    <w:p w:rsidR="0028061C" w:rsidRPr="00E42137" w:rsidRDefault="0028061C" w:rsidP="0028061C">
      <w:pPr>
        <w:pStyle w:val="Sansinterligne"/>
        <w:rPr>
          <w:rFonts w:ascii="Times New Roman" w:hAnsi="Times New Roman" w:cs="Times New Roman"/>
          <w:b/>
          <w:sz w:val="24"/>
          <w:szCs w:val="24"/>
        </w:rPr>
      </w:pP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 xml:space="preserve">La privatisation des autoroutes en 2006 apparaît d’abord comme une belle affaire pour les sociétés concessionnaires, qui sont contrôlées par </w:t>
      </w:r>
      <w:r w:rsidR="00B8218A">
        <w:rPr>
          <w:rFonts w:ascii="Times New Roman" w:hAnsi="Times New Roman" w:cs="Times New Roman"/>
          <w:sz w:val="24"/>
          <w:szCs w:val="24"/>
        </w:rPr>
        <w:t>Vinci</w:t>
      </w:r>
      <w:r w:rsidRPr="0028061C">
        <w:rPr>
          <w:rFonts w:ascii="Times New Roman" w:hAnsi="Times New Roman" w:cs="Times New Roman"/>
          <w:sz w:val="24"/>
          <w:szCs w:val="24"/>
        </w:rPr>
        <w:t xml:space="preserve"> (ASF, </w:t>
      </w:r>
      <w:proofErr w:type="spellStart"/>
      <w:r w:rsidRPr="0028061C">
        <w:rPr>
          <w:rFonts w:ascii="Times New Roman" w:hAnsi="Times New Roman" w:cs="Times New Roman"/>
          <w:sz w:val="24"/>
          <w:szCs w:val="24"/>
        </w:rPr>
        <w:t>Escota</w:t>
      </w:r>
      <w:proofErr w:type="spellEnd"/>
      <w:r w:rsidRPr="0028061C">
        <w:rPr>
          <w:rFonts w:ascii="Times New Roman" w:hAnsi="Times New Roman" w:cs="Times New Roman"/>
          <w:sz w:val="24"/>
          <w:szCs w:val="24"/>
        </w:rPr>
        <w:t xml:space="preserve"> et Cofiroute), </w:t>
      </w:r>
      <w:proofErr w:type="spellStart"/>
      <w:r w:rsidR="00B8218A">
        <w:rPr>
          <w:rFonts w:ascii="Times New Roman" w:hAnsi="Times New Roman" w:cs="Times New Roman"/>
          <w:sz w:val="24"/>
          <w:szCs w:val="24"/>
        </w:rPr>
        <w:t>Eiffage</w:t>
      </w:r>
      <w:proofErr w:type="spellEnd"/>
      <w:r w:rsidRPr="0028061C">
        <w:rPr>
          <w:rFonts w:ascii="Times New Roman" w:hAnsi="Times New Roman" w:cs="Times New Roman"/>
          <w:sz w:val="24"/>
          <w:szCs w:val="24"/>
        </w:rPr>
        <w:t xml:space="preserve"> (APRR et Area) et l’espagnol </w:t>
      </w:r>
      <w:proofErr w:type="spellStart"/>
      <w:r w:rsidR="00B8218A">
        <w:rPr>
          <w:rFonts w:ascii="Times New Roman" w:hAnsi="Times New Roman" w:cs="Times New Roman"/>
          <w:sz w:val="24"/>
          <w:szCs w:val="24"/>
        </w:rPr>
        <w:t>Abertis</w:t>
      </w:r>
      <w:proofErr w:type="spellEnd"/>
      <w:r w:rsidR="00B8218A">
        <w:rPr>
          <w:rFonts w:ascii="Times New Roman" w:hAnsi="Times New Roman" w:cs="Times New Roman"/>
          <w:sz w:val="24"/>
          <w:szCs w:val="24"/>
        </w:rPr>
        <w:t xml:space="preserve"> </w:t>
      </w:r>
      <w:r w:rsidRPr="0028061C">
        <w:rPr>
          <w:rFonts w:ascii="Times New Roman" w:hAnsi="Times New Roman" w:cs="Times New Roman"/>
          <w:sz w:val="24"/>
          <w:szCs w:val="24"/>
        </w:rPr>
        <w:t>(</w:t>
      </w:r>
      <w:proofErr w:type="spellStart"/>
      <w:r w:rsidRPr="0028061C">
        <w:rPr>
          <w:rFonts w:ascii="Times New Roman" w:hAnsi="Times New Roman" w:cs="Times New Roman"/>
          <w:sz w:val="24"/>
          <w:szCs w:val="24"/>
        </w:rPr>
        <w:t>Sanef</w:t>
      </w:r>
      <w:proofErr w:type="spellEnd"/>
      <w:r w:rsidRPr="0028061C">
        <w:rPr>
          <w:rFonts w:ascii="Times New Roman" w:hAnsi="Times New Roman" w:cs="Times New Roman"/>
          <w:sz w:val="24"/>
          <w:szCs w:val="24"/>
        </w:rPr>
        <w:t>, SAPN).</w:t>
      </w:r>
    </w:p>
    <w:p w:rsidR="0028061C" w:rsidRPr="0028061C" w:rsidRDefault="0028061C" w:rsidP="0028061C">
      <w:pPr>
        <w:pStyle w:val="Sansinterligne"/>
      </w:pPr>
    </w:p>
    <w:p w:rsidR="0028061C" w:rsidRPr="0028061C" w:rsidRDefault="0028061C" w:rsidP="0028061C">
      <w:pPr>
        <w:pStyle w:val="Sansinterligne"/>
        <w:rPr>
          <w:rFonts w:ascii="Times New Roman" w:hAnsi="Times New Roman" w:cs="Times New Roman"/>
          <w:b/>
          <w:sz w:val="24"/>
          <w:szCs w:val="24"/>
        </w:rPr>
      </w:pPr>
      <w:r w:rsidRPr="0028061C">
        <w:rPr>
          <w:rFonts w:ascii="Times New Roman" w:hAnsi="Times New Roman" w:cs="Times New Roman"/>
          <w:b/>
          <w:sz w:val="24"/>
          <w:szCs w:val="24"/>
        </w:rPr>
        <w:t>Des actionnaires heureux</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Les sept concessionnaires historiques ont distribué entre</w:t>
      </w:r>
      <w:r w:rsidR="00B8218A">
        <w:rPr>
          <w:rFonts w:ascii="Times New Roman" w:hAnsi="Times New Roman" w:cs="Times New Roman"/>
          <w:sz w:val="24"/>
          <w:szCs w:val="24"/>
        </w:rPr>
        <w:t> 2006</w:t>
      </w:r>
      <w:r w:rsidRPr="0028061C">
        <w:rPr>
          <w:rFonts w:ascii="Times New Roman" w:hAnsi="Times New Roman" w:cs="Times New Roman"/>
          <w:sz w:val="24"/>
          <w:szCs w:val="24"/>
        </w:rPr>
        <w:t xml:space="preserve"> et</w:t>
      </w:r>
      <w:r w:rsidR="00B8218A">
        <w:rPr>
          <w:rFonts w:ascii="Times New Roman" w:hAnsi="Times New Roman" w:cs="Times New Roman"/>
          <w:sz w:val="24"/>
          <w:szCs w:val="24"/>
        </w:rPr>
        <w:t> </w:t>
      </w:r>
      <w:r w:rsidRPr="0028061C">
        <w:rPr>
          <w:rFonts w:ascii="Times New Roman" w:hAnsi="Times New Roman" w:cs="Times New Roman"/>
          <w:sz w:val="24"/>
          <w:szCs w:val="24"/>
        </w:rPr>
        <w:t>2013 des dividendes représentant 136 % de leur résultat net, soit au total 16,7 milliards d’euros, dont 5 milliards d’euros de dividendes exceptionnels, souligne l’Autorité de la concurrence,</w:t>
      </w:r>
      <w:r w:rsidR="00B8218A">
        <w:rPr>
          <w:rFonts w:ascii="Times New Roman" w:hAnsi="Times New Roman" w:cs="Times New Roman"/>
          <w:sz w:val="24"/>
          <w:szCs w:val="24"/>
        </w:rPr>
        <w:t xml:space="preserve"> dans son avis publié jeudi</w:t>
      </w:r>
      <w:r w:rsidRPr="0028061C">
        <w:rPr>
          <w:rFonts w:ascii="Times New Roman" w:hAnsi="Times New Roman" w:cs="Times New Roman"/>
          <w:sz w:val="24"/>
          <w:szCs w:val="24"/>
        </w:rPr>
        <w:t xml:space="preserve"> </w:t>
      </w:r>
      <w:r w:rsidR="00B8218A">
        <w:rPr>
          <w:rFonts w:ascii="Times New Roman" w:hAnsi="Times New Roman" w:cs="Times New Roman"/>
          <w:sz w:val="24"/>
          <w:szCs w:val="24"/>
        </w:rPr>
        <w:t>18 septembre.</w:t>
      </w:r>
      <w:r w:rsidRPr="0028061C">
        <w:rPr>
          <w:rFonts w:ascii="Times New Roman" w:hAnsi="Times New Roman" w:cs="Times New Roman"/>
          <w:sz w:val="24"/>
          <w:szCs w:val="24"/>
        </w:rPr>
        <w:t xml:space="preserve"> Il y a un an, la Cour des comptes avait déjà dressé un </w:t>
      </w:r>
      <w:r w:rsidR="00B8218A">
        <w:rPr>
          <w:rFonts w:ascii="Times New Roman" w:hAnsi="Times New Roman" w:cs="Times New Roman"/>
          <w:sz w:val="24"/>
          <w:szCs w:val="24"/>
        </w:rPr>
        <w:t xml:space="preserve">rapport très critique sur les sociétés d’autoroutes. </w:t>
      </w:r>
    </w:p>
    <w:p w:rsidR="0028061C" w:rsidRPr="00E42137" w:rsidRDefault="0028061C" w:rsidP="0028061C">
      <w:pPr>
        <w:pStyle w:val="Titre2"/>
        <w:rPr>
          <w:rFonts w:ascii="Times New Roman" w:hAnsi="Times New Roman" w:cs="Times New Roman"/>
          <w:color w:val="auto"/>
          <w:sz w:val="24"/>
          <w:szCs w:val="24"/>
        </w:rPr>
      </w:pPr>
      <w:bookmarkStart w:id="0" w:name="eztoc40215092_18"/>
      <w:bookmarkEnd w:id="0"/>
      <w:r w:rsidRPr="00E42137">
        <w:rPr>
          <w:rFonts w:ascii="Times New Roman" w:hAnsi="Times New Roman" w:cs="Times New Roman"/>
          <w:color w:val="auto"/>
          <w:sz w:val="24"/>
          <w:szCs w:val="24"/>
        </w:rPr>
        <w:t>Le chiffre d’affaires a progressé de manière constante</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Entre</w:t>
      </w:r>
      <w:r w:rsidR="00B8218A">
        <w:rPr>
          <w:rFonts w:ascii="Times New Roman" w:hAnsi="Times New Roman" w:cs="Times New Roman"/>
          <w:sz w:val="24"/>
          <w:szCs w:val="24"/>
        </w:rPr>
        <w:t> 2004</w:t>
      </w:r>
      <w:r w:rsidRPr="0028061C">
        <w:rPr>
          <w:rFonts w:ascii="Times New Roman" w:hAnsi="Times New Roman" w:cs="Times New Roman"/>
          <w:sz w:val="24"/>
          <w:szCs w:val="24"/>
        </w:rPr>
        <w:t xml:space="preserve"> et</w:t>
      </w:r>
      <w:r w:rsidR="00B8218A">
        <w:rPr>
          <w:rFonts w:ascii="Times New Roman" w:hAnsi="Times New Roman" w:cs="Times New Roman"/>
          <w:sz w:val="24"/>
          <w:szCs w:val="24"/>
        </w:rPr>
        <w:t> </w:t>
      </w:r>
      <w:r w:rsidRPr="0028061C">
        <w:rPr>
          <w:rFonts w:ascii="Times New Roman" w:hAnsi="Times New Roman" w:cs="Times New Roman"/>
          <w:sz w:val="24"/>
          <w:szCs w:val="24"/>
        </w:rPr>
        <w:t>2013, le chiffre d’affaires a progressé de 41 % passant de 5,8 milliards d’euros à 8,2 milliards. Le secteur a donc été largement épargné par la crise. L’augmentation du trafic est certes limitée (+ 4,1 % depuis 2007), mais continue.</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Elle s’établirait à 0,7 % par an jusqu’en 2030, selon les prévisions. Surtout, l’augmentation du tarif des péages (+ 22 %) depuis 2004 a été quasi systématiquement supérieure à l’inflation.</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 Les textes stipulent qu’ils doivent augmenter si les prix augmentent, mais il n’est pas prévu qu’ils baissent en période de déflation », rappelle un membre de l’Autorité. La hausse réglementaire doit être au moins égale à 70 % de l’inflation jusqu’à la fin des concessions. Mais dans les faits, dans le cadre des contrats de plan, elle peut monter à 80-85 % de l’inflation à laquelle s’ajoute une compensation des investissements prévus.</w:t>
      </w:r>
    </w:p>
    <w:p w:rsidR="0028061C" w:rsidRPr="00E42137" w:rsidRDefault="0028061C" w:rsidP="0028061C">
      <w:pPr>
        <w:pStyle w:val="Titre2"/>
        <w:rPr>
          <w:rFonts w:ascii="Times New Roman" w:hAnsi="Times New Roman" w:cs="Times New Roman"/>
          <w:color w:val="auto"/>
          <w:sz w:val="24"/>
          <w:szCs w:val="24"/>
        </w:rPr>
      </w:pPr>
      <w:r w:rsidRPr="00E42137">
        <w:rPr>
          <w:rFonts w:ascii="Times New Roman" w:hAnsi="Times New Roman" w:cs="Times New Roman"/>
          <w:color w:val="auto"/>
          <w:sz w:val="24"/>
          <w:szCs w:val="24"/>
        </w:rPr>
        <w:t>Une rentabilité exceptionnelle</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Résultat, les sociétés d’autoroute, qui ont bien su maîtriser leurs coûts, affichent une « rentabilité exceptionnelle ». Les ratios résultat net sur chiffre d’affaires sont compris en</w:t>
      </w:r>
      <w:r w:rsidR="00B8218A">
        <w:rPr>
          <w:rFonts w:ascii="Times New Roman" w:hAnsi="Times New Roman" w:cs="Times New Roman"/>
          <w:sz w:val="24"/>
          <w:szCs w:val="24"/>
        </w:rPr>
        <w:t>tre</w:t>
      </w:r>
      <w:r w:rsidRPr="0028061C">
        <w:rPr>
          <w:rFonts w:ascii="Times New Roman" w:hAnsi="Times New Roman" w:cs="Times New Roman"/>
          <w:sz w:val="24"/>
          <w:szCs w:val="24"/>
        </w:rPr>
        <w:t xml:space="preserve"> 20 et 24 %.</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 Pour 100 € de péages payés par l’usager, entre 20 et 24 € est du bénéfice net pour les concessionnaires d’autoroutes », résume Bruno Lasserre, le président de l’Autorité de la Concurrence.</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À titre de comparaison, la rentabilité nette de Vinci et d’Eiffage s’est établie, concessions autoroutières incluses, à respectivement 5,1 % et 2,3 % en 2013. Avec leurs revenus récurrents, les autoroutes compensent largement les métiers plus cycliques du BTP.</w:t>
      </w:r>
    </w:p>
    <w:p w:rsidR="0028061C" w:rsidRPr="00E42137" w:rsidRDefault="0028061C" w:rsidP="0028061C">
      <w:pPr>
        <w:pStyle w:val="Titre2"/>
        <w:rPr>
          <w:rFonts w:ascii="Times New Roman" w:hAnsi="Times New Roman" w:cs="Times New Roman"/>
          <w:color w:val="auto"/>
          <w:sz w:val="24"/>
          <w:szCs w:val="24"/>
        </w:rPr>
      </w:pPr>
      <w:r w:rsidRPr="00E42137">
        <w:rPr>
          <w:rFonts w:ascii="Times New Roman" w:hAnsi="Times New Roman" w:cs="Times New Roman"/>
          <w:color w:val="auto"/>
          <w:sz w:val="24"/>
          <w:szCs w:val="24"/>
        </w:rPr>
        <w:t>Une activité sans risques</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Les sociétés concessionnaires disposent d’un monopole géographique sur les trajets autoroutiers. L’Autorité de la concurrence relève également une faible « substituabilité » avec les trajets par les routes nationales et une faible élasticité prix du trafic.</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 La rentabilité de ces sociétés est totalement déconnectée des coûts et disproportionnée par rapport au risque de leur activité », souligne le patron du gendarme de la concurrence.</w:t>
      </w:r>
    </w:p>
    <w:p w:rsidR="0028061C" w:rsidRPr="00E42137" w:rsidRDefault="0028061C" w:rsidP="0028061C">
      <w:pPr>
        <w:pStyle w:val="Titre2"/>
        <w:rPr>
          <w:rFonts w:ascii="Times New Roman" w:hAnsi="Times New Roman" w:cs="Times New Roman"/>
          <w:color w:val="auto"/>
          <w:sz w:val="24"/>
          <w:szCs w:val="24"/>
        </w:rPr>
      </w:pPr>
      <w:bookmarkStart w:id="1" w:name="eztoc40215092_21"/>
      <w:bookmarkEnd w:id="1"/>
      <w:r w:rsidRPr="00E42137">
        <w:rPr>
          <w:rFonts w:ascii="Times New Roman" w:hAnsi="Times New Roman" w:cs="Times New Roman"/>
          <w:color w:val="auto"/>
          <w:sz w:val="24"/>
          <w:szCs w:val="24"/>
        </w:rPr>
        <w:lastRenderedPageBreak/>
        <w:t>Avantage à s’endetter</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Selon lui, même la lourde dette (23,8 milliards d’euros) ne constitue pas un risque en tant que tel pour les concessionnaires. Les péages dégagent suffisamment d’argent pour rembourser.</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Mieux, les sociétés ont tout intérêt à s’endetter. Elles disposent en effet d’un avantage fiscal leur permettant de déduire intégralement leurs intérêts d’emprunt. Pour l’État, le manque à gagner est évalué à 3,4 milliards d’euros, souligne l’Autorité.</w:t>
      </w:r>
    </w:p>
    <w:p w:rsidR="0028061C" w:rsidRPr="00E42137" w:rsidRDefault="0028061C" w:rsidP="0028061C">
      <w:pPr>
        <w:pStyle w:val="Titre2"/>
        <w:rPr>
          <w:rFonts w:ascii="Times New Roman" w:hAnsi="Times New Roman" w:cs="Times New Roman"/>
          <w:color w:val="auto"/>
          <w:sz w:val="24"/>
          <w:szCs w:val="24"/>
        </w:rPr>
      </w:pPr>
      <w:r w:rsidRPr="00E42137">
        <w:rPr>
          <w:rFonts w:ascii="Times New Roman" w:hAnsi="Times New Roman" w:cs="Times New Roman"/>
          <w:color w:val="auto"/>
          <w:sz w:val="24"/>
          <w:szCs w:val="24"/>
        </w:rPr>
        <w:t>Le besoin d’une plus grande régulation</w:t>
      </w:r>
    </w:p>
    <w:p w:rsidR="0028061C" w:rsidRPr="0028061C" w:rsidRDefault="0028061C" w:rsidP="0028061C">
      <w:pPr>
        <w:pStyle w:val="Sansinterligne"/>
        <w:rPr>
          <w:rFonts w:ascii="Times New Roman" w:hAnsi="Times New Roman" w:cs="Times New Roman"/>
          <w:sz w:val="24"/>
          <w:szCs w:val="24"/>
        </w:rPr>
      </w:pPr>
      <w:r w:rsidRPr="0028061C">
        <w:rPr>
          <w:rFonts w:ascii="Times New Roman" w:hAnsi="Times New Roman" w:cs="Times New Roman"/>
          <w:sz w:val="24"/>
          <w:szCs w:val="24"/>
        </w:rPr>
        <w:t>L’Autorité de la concurrence demande d’encadrer davantage les activités des sociétés d’autoroute. Elle préconise une « meilleure régulation » du secteur, en imposant notamment une nouvelle formule d’indexation du tarif des péages.</w:t>
      </w:r>
    </w:p>
    <w:p w:rsidR="0028061C" w:rsidRPr="0028061C" w:rsidRDefault="0028061C" w:rsidP="0028061C">
      <w:pPr>
        <w:pStyle w:val="Sansinterligne"/>
      </w:pPr>
      <w:r w:rsidRPr="0028061C">
        <w:rPr>
          <w:rFonts w:ascii="Times New Roman" w:hAnsi="Times New Roman" w:cs="Times New Roman"/>
          <w:sz w:val="24"/>
          <w:szCs w:val="24"/>
        </w:rPr>
        <w:t>Basée sur d’autres variables comme les coûts ou le trafic, elle « serait de nature à limiter leur augmentation, voire à rendre possible leur baisse », écrit l’Autorité, en formulant au total 13 recommandations</w:t>
      </w:r>
      <w:r w:rsidRPr="0028061C">
        <w:t>. […]</w:t>
      </w:r>
    </w:p>
    <w:p w:rsidR="0028061C" w:rsidRDefault="0028061C" w:rsidP="0028061C">
      <w:pPr>
        <w:pStyle w:val="Sansinterligne"/>
      </w:pPr>
    </w:p>
    <w:p w:rsidR="00CF3B17" w:rsidRPr="00CF3B17" w:rsidRDefault="00CF3B17" w:rsidP="0028061C">
      <w:pPr>
        <w:pStyle w:val="Sansinterligne"/>
        <w:rPr>
          <w:rFonts w:ascii="Times New Roman" w:hAnsi="Times New Roman" w:cs="Times New Roman"/>
          <w:i/>
        </w:rPr>
      </w:pPr>
      <w:r w:rsidRPr="00CF3B17">
        <w:rPr>
          <w:rFonts w:ascii="Times New Roman" w:hAnsi="Times New Roman" w:cs="Times New Roman"/>
          <w:i/>
        </w:rPr>
        <w:t xml:space="preserve">Note : L’Autorité de la Concurrence est </w:t>
      </w:r>
      <w:r>
        <w:rPr>
          <w:rFonts w:ascii="Times New Roman" w:hAnsi="Times New Roman" w:cs="Times New Roman"/>
          <w:i/>
        </w:rPr>
        <w:t>une institution indépendante chargée de veiller au fonctionnement concurrentiel des marchés.</w:t>
      </w:r>
    </w:p>
    <w:p w:rsidR="005A0478" w:rsidRPr="0028061C" w:rsidRDefault="00D37075" w:rsidP="00792E2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bookmarkStart w:id="2" w:name="eztoc40215092_23"/>
      <w:bookmarkEnd w:id="2"/>
      <w:r w:rsidRPr="0028061C">
        <w:rPr>
          <w:rFonts w:eastAsia="Times New Roman" w:cs="Times New Roman"/>
          <w:b/>
          <w:sz w:val="24"/>
          <w:szCs w:val="24"/>
          <w:lang w:eastAsia="fr-FR"/>
        </w:rPr>
        <w:t>Exploitation pédagogique</w:t>
      </w:r>
    </w:p>
    <w:p w:rsidR="00D7714D" w:rsidRDefault="00164893" w:rsidP="008456F5">
      <w:pPr>
        <w:pStyle w:val="Paragraphedeliste"/>
        <w:numPr>
          <w:ilvl w:val="0"/>
          <w:numId w:val="27"/>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Comment est organisée aujourd’hui en France l’exploitation du réseau autoroutier ? </w:t>
      </w:r>
      <w:r w:rsidR="002A02E3">
        <w:rPr>
          <w:rFonts w:ascii="Times-Roman" w:hAnsi="Times-Roman" w:cs="Times-Roman"/>
          <w:sz w:val="24"/>
          <w:szCs w:val="24"/>
        </w:rPr>
        <w:t>Vous préciserez les caractéristiques de ce marché</w:t>
      </w:r>
      <w:r w:rsidR="005F2A98">
        <w:rPr>
          <w:rFonts w:ascii="Times-Roman" w:hAnsi="Times-Roman" w:cs="Times-Roman"/>
          <w:sz w:val="24"/>
          <w:szCs w:val="24"/>
        </w:rPr>
        <w:t xml:space="preserve"> : </w:t>
      </w:r>
      <w:r w:rsidR="00356666">
        <w:rPr>
          <w:rFonts w:ascii="Times-Roman" w:hAnsi="Times-Roman" w:cs="Times-Roman"/>
          <w:sz w:val="24"/>
          <w:szCs w:val="24"/>
        </w:rPr>
        <w:t xml:space="preserve">qu’est-ce qui s’échange ? </w:t>
      </w:r>
      <w:r w:rsidR="005F2A98">
        <w:rPr>
          <w:rFonts w:ascii="Times-Roman" w:hAnsi="Times-Roman" w:cs="Times-Roman"/>
          <w:sz w:val="24"/>
          <w:szCs w:val="24"/>
        </w:rPr>
        <w:t>Q</w:t>
      </w:r>
      <w:r w:rsidR="002A02E3">
        <w:rPr>
          <w:rFonts w:ascii="Times-Roman" w:hAnsi="Times-Roman" w:cs="Times-Roman"/>
          <w:sz w:val="24"/>
          <w:szCs w:val="24"/>
        </w:rPr>
        <w:t>ui offre</w:t>
      </w:r>
      <w:r w:rsidR="00356666">
        <w:rPr>
          <w:rFonts w:ascii="Times-Roman" w:hAnsi="Times-Roman" w:cs="Times-Roman"/>
          <w:sz w:val="24"/>
          <w:szCs w:val="24"/>
        </w:rPr>
        <w:t xml:space="preserve"> ? </w:t>
      </w:r>
      <w:r w:rsidR="005F2A98">
        <w:rPr>
          <w:rFonts w:ascii="Times-Roman" w:hAnsi="Times-Roman" w:cs="Times-Roman"/>
          <w:sz w:val="24"/>
          <w:szCs w:val="24"/>
        </w:rPr>
        <w:t>Q</w:t>
      </w:r>
      <w:r w:rsidR="002A02E3">
        <w:rPr>
          <w:rFonts w:ascii="Times-Roman" w:hAnsi="Times-Roman" w:cs="Times-Roman"/>
          <w:sz w:val="24"/>
          <w:szCs w:val="24"/>
        </w:rPr>
        <w:t>ui demande</w:t>
      </w:r>
      <w:r w:rsidR="00356666">
        <w:rPr>
          <w:rFonts w:ascii="Times-Roman" w:hAnsi="Times-Roman" w:cs="Times-Roman"/>
          <w:sz w:val="24"/>
          <w:szCs w:val="24"/>
        </w:rPr>
        <w:t> ?</w:t>
      </w:r>
      <w:r w:rsidR="002A02E3">
        <w:rPr>
          <w:rFonts w:ascii="Times-Roman" w:hAnsi="Times-Roman" w:cs="Times-Roman"/>
          <w:sz w:val="24"/>
          <w:szCs w:val="24"/>
        </w:rPr>
        <w:t xml:space="preserve"> </w:t>
      </w:r>
      <w:r w:rsidR="00B8218A">
        <w:rPr>
          <w:rFonts w:ascii="Times-Roman" w:hAnsi="Times-Roman" w:cs="Times-Roman"/>
          <w:sz w:val="24"/>
          <w:szCs w:val="24"/>
        </w:rPr>
        <w:t>À</w:t>
      </w:r>
      <w:r w:rsidR="002A02E3">
        <w:rPr>
          <w:rFonts w:ascii="Times-Roman" w:hAnsi="Times-Roman" w:cs="Times-Roman"/>
          <w:sz w:val="24"/>
          <w:szCs w:val="24"/>
        </w:rPr>
        <w:t xml:space="preserve"> quel </w:t>
      </w:r>
      <w:r w:rsidR="00356666">
        <w:rPr>
          <w:rFonts w:ascii="Times-Roman" w:hAnsi="Times-Roman" w:cs="Times-Roman"/>
          <w:sz w:val="24"/>
          <w:szCs w:val="24"/>
        </w:rPr>
        <w:t xml:space="preserve">prix ? Quelle est la </w:t>
      </w:r>
      <w:r w:rsidR="002A02E3">
        <w:rPr>
          <w:rFonts w:ascii="Times-Roman" w:hAnsi="Times-Roman" w:cs="Times-Roman"/>
          <w:sz w:val="24"/>
          <w:szCs w:val="24"/>
        </w:rPr>
        <w:t>structure de marché</w:t>
      </w:r>
      <w:r w:rsidR="00356666">
        <w:rPr>
          <w:rFonts w:ascii="Times-Roman" w:hAnsi="Times-Roman" w:cs="Times-Roman"/>
          <w:sz w:val="24"/>
          <w:szCs w:val="24"/>
        </w:rPr>
        <w:t> ?</w:t>
      </w:r>
    </w:p>
    <w:p w:rsidR="00164893" w:rsidRDefault="00164893" w:rsidP="008456F5">
      <w:pPr>
        <w:pStyle w:val="Paragraphedeliste"/>
        <w:numPr>
          <w:ilvl w:val="0"/>
          <w:numId w:val="27"/>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Qu’est-ce que le chiffre d’affaires ? Quelles sont les deux variables dont il dépend ?</w:t>
      </w:r>
    </w:p>
    <w:p w:rsidR="00164893" w:rsidRDefault="00164893" w:rsidP="008456F5">
      <w:pPr>
        <w:pStyle w:val="Paragraphedeliste"/>
        <w:numPr>
          <w:ilvl w:val="0"/>
          <w:numId w:val="27"/>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Comment s’explique la croissance du chiffre d’affaires des sociétés d’autoroutes </w:t>
      </w:r>
      <w:r w:rsidR="00874B30">
        <w:rPr>
          <w:rFonts w:ascii="Times-Roman" w:hAnsi="Times-Roman" w:cs="Times-Roman"/>
          <w:sz w:val="24"/>
          <w:szCs w:val="24"/>
        </w:rPr>
        <w:t>entre</w:t>
      </w:r>
      <w:r w:rsidR="00B8218A">
        <w:rPr>
          <w:rFonts w:ascii="Times-Roman" w:hAnsi="Times-Roman" w:cs="Times-Roman"/>
          <w:sz w:val="24"/>
          <w:szCs w:val="24"/>
        </w:rPr>
        <w:t> 2004</w:t>
      </w:r>
      <w:r w:rsidR="00874B30">
        <w:rPr>
          <w:rFonts w:ascii="Times-Roman" w:hAnsi="Times-Roman" w:cs="Times-Roman"/>
          <w:sz w:val="24"/>
          <w:szCs w:val="24"/>
        </w:rPr>
        <w:t xml:space="preserve"> et</w:t>
      </w:r>
      <w:r w:rsidR="00B8218A">
        <w:rPr>
          <w:rFonts w:ascii="Times-Roman" w:hAnsi="Times-Roman" w:cs="Times-Roman"/>
          <w:sz w:val="24"/>
          <w:szCs w:val="24"/>
        </w:rPr>
        <w:t> </w:t>
      </w:r>
      <w:r w:rsidR="00874B30">
        <w:rPr>
          <w:rFonts w:ascii="Times-Roman" w:hAnsi="Times-Roman" w:cs="Times-Roman"/>
          <w:sz w:val="24"/>
          <w:szCs w:val="24"/>
        </w:rPr>
        <w:t>2013</w:t>
      </w:r>
      <w:r w:rsidR="00B8218A">
        <w:rPr>
          <w:rFonts w:ascii="Times-Roman" w:hAnsi="Times-Roman" w:cs="Times-Roman"/>
          <w:sz w:val="24"/>
          <w:szCs w:val="24"/>
        </w:rPr>
        <w:t> </w:t>
      </w:r>
      <w:r>
        <w:rPr>
          <w:rFonts w:ascii="Times-Roman" w:hAnsi="Times-Roman" w:cs="Times-Roman"/>
          <w:sz w:val="24"/>
          <w:szCs w:val="24"/>
        </w:rPr>
        <w:t>?</w:t>
      </w:r>
    </w:p>
    <w:p w:rsidR="00E96DD4" w:rsidRDefault="00133A42" w:rsidP="008456F5">
      <w:pPr>
        <w:pStyle w:val="Paragraphedeliste"/>
        <w:numPr>
          <w:ilvl w:val="0"/>
          <w:numId w:val="27"/>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Pourquoi peut-on </w:t>
      </w:r>
      <w:r w:rsidR="00E96DD4">
        <w:rPr>
          <w:rFonts w:ascii="Times-Roman" w:hAnsi="Times-Roman" w:cs="Times-Roman"/>
          <w:sz w:val="24"/>
          <w:szCs w:val="24"/>
        </w:rPr>
        <w:t>parler de « rentabilité exceptionnelle » dans le secteur autoroutier ?</w:t>
      </w:r>
    </w:p>
    <w:p w:rsidR="00BA2819" w:rsidRDefault="00BA2819" w:rsidP="008456F5">
      <w:pPr>
        <w:pStyle w:val="Paragraphedeliste"/>
        <w:numPr>
          <w:ilvl w:val="0"/>
          <w:numId w:val="27"/>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Comment peut-on expliquer le pouvoir de marché des sociétés d’autoroutes ?</w:t>
      </w:r>
    </w:p>
    <w:p w:rsidR="00C21A3E" w:rsidRDefault="00C21A3E" w:rsidP="008456F5">
      <w:pPr>
        <w:pStyle w:val="Paragraphedeliste"/>
        <w:numPr>
          <w:ilvl w:val="0"/>
          <w:numId w:val="27"/>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Quels</w:t>
      </w:r>
      <w:r w:rsidR="00BA2819">
        <w:rPr>
          <w:rFonts w:ascii="Times-Roman" w:hAnsi="Times-Roman" w:cs="Times-Roman"/>
          <w:sz w:val="24"/>
          <w:szCs w:val="24"/>
        </w:rPr>
        <w:t xml:space="preserve"> sont les gagnants et les perdants de </w:t>
      </w:r>
      <w:r w:rsidR="00034648">
        <w:rPr>
          <w:rFonts w:ascii="Times-Roman" w:hAnsi="Times-Roman" w:cs="Times-Roman"/>
          <w:sz w:val="24"/>
          <w:szCs w:val="24"/>
        </w:rPr>
        <w:t>cette situation ?</w:t>
      </w:r>
    </w:p>
    <w:p w:rsidR="00D37075" w:rsidRPr="0028061C" w:rsidRDefault="00D37075" w:rsidP="00D3707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Corrigé</w:t>
      </w:r>
    </w:p>
    <w:p w:rsidR="00E75AB5" w:rsidRDefault="00E75AB5" w:rsidP="00E75AB5">
      <w:pPr>
        <w:pStyle w:val="Paragraphedeliste"/>
        <w:numPr>
          <w:ilvl w:val="0"/>
          <w:numId w:val="28"/>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 réseau autoroutier reste la propriété de l’</w:t>
      </w:r>
      <w:r w:rsidR="00B8218A">
        <w:rPr>
          <w:rFonts w:ascii="Times-Roman" w:hAnsi="Times-Roman" w:cs="Times-Roman"/>
          <w:sz w:val="24"/>
          <w:szCs w:val="24"/>
        </w:rPr>
        <w:t>É</w:t>
      </w:r>
      <w:r>
        <w:rPr>
          <w:rFonts w:ascii="Times-Roman" w:hAnsi="Times-Roman" w:cs="Times-Roman"/>
          <w:sz w:val="24"/>
          <w:szCs w:val="24"/>
        </w:rPr>
        <w:t xml:space="preserve">tat mais, depuis les privatisations de 2006, l’exploitation du réseau routier est concédée à des sociétés privées contrôlées par des groupes du BTP, Vinci, </w:t>
      </w:r>
      <w:proofErr w:type="spellStart"/>
      <w:r>
        <w:rPr>
          <w:rFonts w:ascii="Times-Roman" w:hAnsi="Times-Roman" w:cs="Times-Roman"/>
          <w:sz w:val="24"/>
          <w:szCs w:val="24"/>
        </w:rPr>
        <w:t>Eiffage</w:t>
      </w:r>
      <w:proofErr w:type="spellEnd"/>
      <w:r>
        <w:rPr>
          <w:rFonts w:ascii="Times-Roman" w:hAnsi="Times-Roman" w:cs="Times-Roman"/>
          <w:sz w:val="24"/>
          <w:szCs w:val="24"/>
        </w:rPr>
        <w:t xml:space="preserve"> et </w:t>
      </w:r>
      <w:proofErr w:type="spellStart"/>
      <w:r>
        <w:rPr>
          <w:rFonts w:ascii="Times-Roman" w:hAnsi="Times-Roman" w:cs="Times-Roman"/>
          <w:sz w:val="24"/>
          <w:szCs w:val="24"/>
        </w:rPr>
        <w:t>Albertis</w:t>
      </w:r>
      <w:proofErr w:type="spellEnd"/>
      <w:r>
        <w:rPr>
          <w:rFonts w:ascii="Times-Roman" w:hAnsi="Times-Roman" w:cs="Times-Roman"/>
          <w:sz w:val="24"/>
          <w:szCs w:val="24"/>
        </w:rPr>
        <w:t xml:space="preserve">. </w:t>
      </w:r>
      <w:r w:rsidR="002A02E3">
        <w:rPr>
          <w:rFonts w:ascii="Times-Roman" w:hAnsi="Times-Roman" w:cs="Times-Roman"/>
          <w:sz w:val="24"/>
          <w:szCs w:val="24"/>
        </w:rPr>
        <w:t xml:space="preserve">Sur ce marché, s’échange un service, la liaison </w:t>
      </w:r>
      <w:r w:rsidR="001E349F">
        <w:rPr>
          <w:rFonts w:ascii="Times-Roman" w:hAnsi="Times-Roman" w:cs="Times-Roman"/>
          <w:sz w:val="24"/>
          <w:szCs w:val="24"/>
        </w:rPr>
        <w:t>auto</w:t>
      </w:r>
      <w:r w:rsidR="002A02E3">
        <w:rPr>
          <w:rFonts w:ascii="Times-Roman" w:hAnsi="Times-Roman" w:cs="Times-Roman"/>
          <w:sz w:val="24"/>
          <w:szCs w:val="24"/>
        </w:rPr>
        <w:t xml:space="preserve">routière entre deux </w:t>
      </w:r>
      <w:r w:rsidR="001049B6">
        <w:rPr>
          <w:rFonts w:ascii="Times-Roman" w:hAnsi="Times-Roman" w:cs="Times-Roman"/>
          <w:sz w:val="24"/>
          <w:szCs w:val="24"/>
        </w:rPr>
        <w:t>point</w:t>
      </w:r>
      <w:r w:rsidR="002A02E3">
        <w:rPr>
          <w:rFonts w:ascii="Times-Roman" w:hAnsi="Times-Roman" w:cs="Times-Roman"/>
          <w:sz w:val="24"/>
          <w:szCs w:val="24"/>
        </w:rPr>
        <w:t xml:space="preserve">s, offert par les sociétés d’autoroutes et demandé par les automobilistes, les motards et les poids lourds, à un prix qui est le péage. </w:t>
      </w:r>
      <w:r w:rsidR="0055542F">
        <w:rPr>
          <w:rFonts w:ascii="Times-Roman" w:hAnsi="Times-Roman" w:cs="Times-Roman"/>
          <w:sz w:val="24"/>
          <w:szCs w:val="24"/>
        </w:rPr>
        <w:t>Ce marché est très concentré,</w:t>
      </w:r>
      <w:r w:rsidR="002A02E3">
        <w:rPr>
          <w:rFonts w:ascii="Times-Roman" w:hAnsi="Times-Roman" w:cs="Times-Roman"/>
          <w:sz w:val="24"/>
          <w:szCs w:val="24"/>
        </w:rPr>
        <w:t xml:space="preserve"> les s</w:t>
      </w:r>
      <w:r>
        <w:rPr>
          <w:rFonts w:ascii="Times-Roman" w:hAnsi="Times-Roman" w:cs="Times-Roman"/>
          <w:sz w:val="24"/>
          <w:szCs w:val="24"/>
        </w:rPr>
        <w:t>ept sociétés citées dans le premier paragraphe de l’</w:t>
      </w:r>
      <w:r w:rsidR="002A02E3">
        <w:rPr>
          <w:rFonts w:ascii="Times-Roman" w:hAnsi="Times-Roman" w:cs="Times-Roman"/>
          <w:sz w:val="24"/>
          <w:szCs w:val="24"/>
        </w:rPr>
        <w:t xml:space="preserve">article </w:t>
      </w:r>
      <w:r>
        <w:rPr>
          <w:rFonts w:ascii="Times-Roman" w:hAnsi="Times-Roman" w:cs="Times-Roman"/>
          <w:sz w:val="24"/>
          <w:szCs w:val="24"/>
        </w:rPr>
        <w:t>se partage</w:t>
      </w:r>
      <w:r w:rsidR="0055542F">
        <w:rPr>
          <w:rFonts w:ascii="Times-Roman" w:hAnsi="Times-Roman" w:cs="Times-Roman"/>
          <w:sz w:val="24"/>
          <w:szCs w:val="24"/>
        </w:rPr>
        <w:t>a</w:t>
      </w:r>
      <w:r>
        <w:rPr>
          <w:rFonts w:ascii="Times-Roman" w:hAnsi="Times-Roman" w:cs="Times-Roman"/>
          <w:sz w:val="24"/>
          <w:szCs w:val="24"/>
        </w:rPr>
        <w:t xml:space="preserve">nt </w:t>
      </w:r>
      <w:r w:rsidR="0055542F">
        <w:rPr>
          <w:rFonts w:ascii="Times-Roman" w:hAnsi="Times-Roman" w:cs="Times-Roman"/>
          <w:sz w:val="24"/>
          <w:szCs w:val="24"/>
        </w:rPr>
        <w:t>le</w:t>
      </w:r>
      <w:r>
        <w:rPr>
          <w:rFonts w:ascii="Times-Roman" w:hAnsi="Times-Roman" w:cs="Times-Roman"/>
          <w:sz w:val="24"/>
          <w:szCs w:val="24"/>
        </w:rPr>
        <w:t xml:space="preserve"> chiffre d’affaires du secteur</w:t>
      </w:r>
      <w:r w:rsidR="0055542F">
        <w:rPr>
          <w:rFonts w:ascii="Times-Roman" w:hAnsi="Times-Roman" w:cs="Times-Roman"/>
          <w:sz w:val="24"/>
          <w:szCs w:val="24"/>
        </w:rPr>
        <w:t xml:space="preserve"> (en fait 92</w:t>
      </w:r>
      <w:r w:rsidR="00B8218A">
        <w:rPr>
          <w:rFonts w:ascii="Times-Roman" w:hAnsi="Times-Roman" w:cs="Times-Roman"/>
          <w:sz w:val="24"/>
          <w:szCs w:val="24"/>
        </w:rPr>
        <w:t> </w:t>
      </w:r>
      <w:r w:rsidR="0055542F">
        <w:rPr>
          <w:rFonts w:ascii="Times-Roman" w:hAnsi="Times-Roman" w:cs="Times-Roman"/>
          <w:sz w:val="24"/>
          <w:szCs w:val="24"/>
        </w:rPr>
        <w:t>% de ce chiffre d’affaires, le reste étant réalisé par des sociétés de taille beaucoup plus réduite comme les sociétés gérant les tunnels du Mont-Blanc ou de Fréjus</w:t>
      </w:r>
      <w:r w:rsidR="005F2A98">
        <w:rPr>
          <w:rFonts w:ascii="Times-Roman" w:hAnsi="Times-Roman" w:cs="Times-Roman"/>
          <w:sz w:val="24"/>
          <w:szCs w:val="24"/>
        </w:rPr>
        <w:t>)</w:t>
      </w:r>
      <w:r>
        <w:rPr>
          <w:rFonts w:ascii="Times-Roman" w:hAnsi="Times-Roman" w:cs="Times-Roman"/>
          <w:sz w:val="24"/>
          <w:szCs w:val="24"/>
        </w:rPr>
        <w:t xml:space="preserve">. </w:t>
      </w:r>
      <w:r w:rsidR="002A02E3">
        <w:rPr>
          <w:rFonts w:ascii="Times-Roman" w:hAnsi="Times-Roman" w:cs="Times-Roman"/>
          <w:sz w:val="24"/>
          <w:szCs w:val="24"/>
        </w:rPr>
        <w:t>Il s’agit donc d’un marché oligopolistique.</w:t>
      </w:r>
    </w:p>
    <w:p w:rsidR="00E75AB5" w:rsidRDefault="00DF615E" w:rsidP="00E75AB5">
      <w:pPr>
        <w:pStyle w:val="Paragraphedeliste"/>
        <w:numPr>
          <w:ilvl w:val="0"/>
          <w:numId w:val="28"/>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Le chiffre d’affaires est le montant des ventes. </w:t>
      </w:r>
      <w:r w:rsidR="001049B6">
        <w:rPr>
          <w:rFonts w:ascii="Times-Roman" w:hAnsi="Times-Roman" w:cs="Times-Roman"/>
          <w:sz w:val="24"/>
          <w:szCs w:val="24"/>
        </w:rPr>
        <w:t>Comme pour toute entreprise, i</w:t>
      </w:r>
      <w:r>
        <w:rPr>
          <w:rFonts w:ascii="Times-Roman" w:hAnsi="Times-Roman" w:cs="Times-Roman"/>
          <w:sz w:val="24"/>
          <w:szCs w:val="24"/>
        </w:rPr>
        <w:t xml:space="preserve">l dépend </w:t>
      </w:r>
      <w:r w:rsidR="001049B6">
        <w:rPr>
          <w:rFonts w:ascii="Times-Roman" w:hAnsi="Times-Roman" w:cs="Times-Roman"/>
          <w:sz w:val="24"/>
          <w:szCs w:val="24"/>
        </w:rPr>
        <w:t xml:space="preserve">du volume </w:t>
      </w:r>
      <w:r>
        <w:rPr>
          <w:rFonts w:ascii="Times-Roman" w:hAnsi="Times-Roman" w:cs="Times-Roman"/>
          <w:sz w:val="24"/>
          <w:szCs w:val="24"/>
        </w:rPr>
        <w:t>des</w:t>
      </w:r>
      <w:r w:rsidR="001049B6">
        <w:rPr>
          <w:rFonts w:ascii="Times-Roman" w:hAnsi="Times-Roman" w:cs="Times-Roman"/>
          <w:sz w:val="24"/>
          <w:szCs w:val="24"/>
        </w:rPr>
        <w:t xml:space="preserve"> ventes </w:t>
      </w:r>
      <w:r>
        <w:rPr>
          <w:rFonts w:ascii="Times-Roman" w:hAnsi="Times-Roman" w:cs="Times-Roman"/>
          <w:sz w:val="24"/>
          <w:szCs w:val="24"/>
        </w:rPr>
        <w:t>et des prix de vente</w:t>
      </w:r>
      <w:r w:rsidR="001049B6">
        <w:rPr>
          <w:rFonts w:ascii="Times-Roman" w:hAnsi="Times-Roman" w:cs="Times-Roman"/>
          <w:sz w:val="24"/>
          <w:szCs w:val="24"/>
        </w:rPr>
        <w:t>. I</w:t>
      </w:r>
      <w:r>
        <w:rPr>
          <w:rFonts w:ascii="Times-Roman" w:hAnsi="Times-Roman" w:cs="Times-Roman"/>
          <w:sz w:val="24"/>
          <w:szCs w:val="24"/>
        </w:rPr>
        <w:t>ci</w:t>
      </w:r>
      <w:r w:rsidR="00B8218A">
        <w:rPr>
          <w:rFonts w:ascii="Times-Roman" w:hAnsi="Times-Roman" w:cs="Times-Roman"/>
          <w:sz w:val="24"/>
          <w:szCs w:val="24"/>
        </w:rPr>
        <w:t>,</w:t>
      </w:r>
      <w:r>
        <w:rPr>
          <w:rFonts w:ascii="Times-Roman" w:hAnsi="Times-Roman" w:cs="Times-Roman"/>
          <w:sz w:val="24"/>
          <w:szCs w:val="24"/>
        </w:rPr>
        <w:t xml:space="preserve"> </w:t>
      </w:r>
      <w:r w:rsidR="001049B6">
        <w:rPr>
          <w:rFonts w:ascii="Times-Roman" w:hAnsi="Times-Roman" w:cs="Times-Roman"/>
          <w:sz w:val="24"/>
          <w:szCs w:val="24"/>
        </w:rPr>
        <w:t xml:space="preserve">il est donc fonction </w:t>
      </w:r>
      <w:r>
        <w:rPr>
          <w:rFonts w:ascii="Times-Roman" w:hAnsi="Times-Roman" w:cs="Times-Roman"/>
          <w:sz w:val="24"/>
          <w:szCs w:val="24"/>
        </w:rPr>
        <w:t>du trafic autoroutier et des tarifs de péage.</w:t>
      </w:r>
    </w:p>
    <w:p w:rsidR="00E75AB5" w:rsidRDefault="001049B6" w:rsidP="00E75AB5">
      <w:pPr>
        <w:pStyle w:val="Paragraphedeliste"/>
        <w:numPr>
          <w:ilvl w:val="0"/>
          <w:numId w:val="28"/>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w:t>
      </w:r>
      <w:r w:rsidR="00E75AB5">
        <w:rPr>
          <w:rFonts w:ascii="Times-Roman" w:hAnsi="Times-Roman" w:cs="Times-Roman"/>
          <w:sz w:val="24"/>
          <w:szCs w:val="24"/>
        </w:rPr>
        <w:t>a croissance du chiffre d’affaires des sociétés d’autoroutes</w:t>
      </w:r>
      <w:r w:rsidR="00B8218A">
        <w:rPr>
          <w:rFonts w:ascii="Times-Roman" w:hAnsi="Times-Roman" w:cs="Times-Roman"/>
          <w:sz w:val="24"/>
          <w:szCs w:val="24"/>
        </w:rPr>
        <w:t xml:space="preserve"> </w:t>
      </w:r>
      <w:r w:rsidR="00874B30">
        <w:rPr>
          <w:rFonts w:ascii="Times-Roman" w:hAnsi="Times-Roman" w:cs="Times-Roman"/>
          <w:sz w:val="24"/>
          <w:szCs w:val="24"/>
        </w:rPr>
        <w:t>(</w:t>
      </w:r>
      <w:r w:rsidR="00D219F0">
        <w:rPr>
          <w:rFonts w:ascii="Times-Roman" w:hAnsi="Times-Roman" w:cs="Times-Roman"/>
          <w:sz w:val="24"/>
          <w:szCs w:val="24"/>
        </w:rPr>
        <w:t>+</w:t>
      </w:r>
      <w:r w:rsidR="00B8218A">
        <w:rPr>
          <w:rFonts w:ascii="Times-Roman" w:hAnsi="Times-Roman" w:cs="Times-Roman"/>
          <w:sz w:val="24"/>
          <w:szCs w:val="24"/>
        </w:rPr>
        <w:t> </w:t>
      </w:r>
      <w:r w:rsidR="00D219F0">
        <w:rPr>
          <w:rFonts w:ascii="Times-Roman" w:hAnsi="Times-Roman" w:cs="Times-Roman"/>
          <w:sz w:val="24"/>
          <w:szCs w:val="24"/>
        </w:rPr>
        <w:t>41</w:t>
      </w:r>
      <w:r w:rsidR="00B8218A">
        <w:rPr>
          <w:rFonts w:ascii="Times-Roman" w:hAnsi="Times-Roman" w:cs="Times-Roman"/>
          <w:sz w:val="24"/>
          <w:szCs w:val="24"/>
        </w:rPr>
        <w:t> </w:t>
      </w:r>
      <w:r w:rsidR="00D219F0">
        <w:rPr>
          <w:rFonts w:ascii="Times-Roman" w:hAnsi="Times-Roman" w:cs="Times-Roman"/>
          <w:sz w:val="24"/>
          <w:szCs w:val="24"/>
        </w:rPr>
        <w:t xml:space="preserve">% </w:t>
      </w:r>
      <w:r w:rsidR="00874B30">
        <w:rPr>
          <w:rFonts w:ascii="Times-Roman" w:hAnsi="Times-Roman" w:cs="Times-Roman"/>
          <w:sz w:val="24"/>
          <w:szCs w:val="24"/>
        </w:rPr>
        <w:t>entre</w:t>
      </w:r>
      <w:r w:rsidR="00B8218A">
        <w:rPr>
          <w:rFonts w:ascii="Times-Roman" w:hAnsi="Times-Roman" w:cs="Times-Roman"/>
          <w:sz w:val="24"/>
          <w:szCs w:val="24"/>
        </w:rPr>
        <w:t> 2004</w:t>
      </w:r>
      <w:r w:rsidR="00874B30">
        <w:rPr>
          <w:rFonts w:ascii="Times-Roman" w:hAnsi="Times-Roman" w:cs="Times-Roman"/>
          <w:sz w:val="24"/>
          <w:szCs w:val="24"/>
        </w:rPr>
        <w:t xml:space="preserve"> et</w:t>
      </w:r>
      <w:r w:rsidR="00B8218A">
        <w:rPr>
          <w:rFonts w:ascii="Times-Roman" w:hAnsi="Times-Roman" w:cs="Times-Roman"/>
          <w:sz w:val="24"/>
          <w:szCs w:val="24"/>
        </w:rPr>
        <w:t> </w:t>
      </w:r>
      <w:r w:rsidR="00874B30">
        <w:rPr>
          <w:rFonts w:ascii="Times-Roman" w:hAnsi="Times-Roman" w:cs="Times-Roman"/>
          <w:sz w:val="24"/>
          <w:szCs w:val="24"/>
        </w:rPr>
        <w:t>2013</w:t>
      </w:r>
      <w:r w:rsidR="00D219F0">
        <w:rPr>
          <w:rFonts w:ascii="Times-Roman" w:hAnsi="Times-Roman" w:cs="Times-Roman"/>
          <w:sz w:val="24"/>
          <w:szCs w:val="24"/>
        </w:rPr>
        <w:t>)</w:t>
      </w:r>
      <w:r w:rsidR="00874B30">
        <w:rPr>
          <w:rFonts w:ascii="Times-Roman" w:hAnsi="Times-Roman" w:cs="Times-Roman"/>
          <w:sz w:val="24"/>
          <w:szCs w:val="24"/>
        </w:rPr>
        <w:t xml:space="preserve"> </w:t>
      </w:r>
      <w:r>
        <w:rPr>
          <w:rFonts w:ascii="Times-Roman" w:hAnsi="Times-Roman" w:cs="Times-Roman"/>
          <w:sz w:val="24"/>
          <w:szCs w:val="24"/>
        </w:rPr>
        <w:t>tient à la fois à la progression du trafic et à la hausse des péages. Mais la hausse du trafi</w:t>
      </w:r>
      <w:r w:rsidR="00D219F0">
        <w:rPr>
          <w:rFonts w:ascii="Times-Roman" w:hAnsi="Times-Roman" w:cs="Times-Roman"/>
          <w:sz w:val="24"/>
          <w:szCs w:val="24"/>
        </w:rPr>
        <w:t>c ayant été relativement limitée</w:t>
      </w:r>
      <w:r>
        <w:rPr>
          <w:rFonts w:ascii="Times-Roman" w:hAnsi="Times-Roman" w:cs="Times-Roman"/>
          <w:sz w:val="24"/>
          <w:szCs w:val="24"/>
        </w:rPr>
        <w:t xml:space="preserve">, c’est </w:t>
      </w:r>
      <w:r w:rsidR="00D219F0">
        <w:rPr>
          <w:rFonts w:ascii="Times-Roman" w:hAnsi="Times-Roman" w:cs="Times-Roman"/>
          <w:sz w:val="24"/>
          <w:szCs w:val="24"/>
        </w:rPr>
        <w:t xml:space="preserve">surtout </w:t>
      </w:r>
      <w:r>
        <w:rPr>
          <w:rFonts w:ascii="Times-Roman" w:hAnsi="Times-Roman" w:cs="Times-Roman"/>
          <w:sz w:val="24"/>
          <w:szCs w:val="24"/>
        </w:rPr>
        <w:t xml:space="preserve">la forte </w:t>
      </w:r>
      <w:r w:rsidR="00D219F0">
        <w:rPr>
          <w:rFonts w:ascii="Times-Roman" w:hAnsi="Times-Roman" w:cs="Times-Roman"/>
          <w:sz w:val="24"/>
          <w:szCs w:val="24"/>
        </w:rPr>
        <w:t>augmentation</w:t>
      </w:r>
      <w:r>
        <w:rPr>
          <w:rFonts w:ascii="Times-Roman" w:hAnsi="Times-Roman" w:cs="Times-Roman"/>
          <w:sz w:val="24"/>
          <w:szCs w:val="24"/>
        </w:rPr>
        <w:t xml:space="preserve"> du tarif des péages </w:t>
      </w:r>
      <w:r w:rsidR="00D219F0">
        <w:rPr>
          <w:rFonts w:ascii="Times-Roman" w:hAnsi="Times-Roman" w:cs="Times-Roman"/>
          <w:sz w:val="24"/>
          <w:szCs w:val="24"/>
        </w:rPr>
        <w:t>(</w:t>
      </w:r>
      <w:r w:rsidR="00874B30">
        <w:rPr>
          <w:rFonts w:ascii="Times-Roman" w:hAnsi="Times-Roman" w:cs="Times-Roman"/>
          <w:sz w:val="24"/>
          <w:szCs w:val="24"/>
        </w:rPr>
        <w:t>+</w:t>
      </w:r>
      <w:r w:rsidR="00B8218A">
        <w:rPr>
          <w:rFonts w:ascii="Times-Roman" w:hAnsi="Times-Roman" w:cs="Times-Roman"/>
          <w:sz w:val="24"/>
          <w:szCs w:val="24"/>
        </w:rPr>
        <w:t> </w:t>
      </w:r>
      <w:r w:rsidR="00874B30">
        <w:rPr>
          <w:rFonts w:ascii="Times-Roman" w:hAnsi="Times-Roman" w:cs="Times-Roman"/>
          <w:sz w:val="24"/>
          <w:szCs w:val="24"/>
        </w:rPr>
        <w:t>22</w:t>
      </w:r>
      <w:r w:rsidR="00B8218A">
        <w:rPr>
          <w:rFonts w:ascii="Times-Roman" w:hAnsi="Times-Roman" w:cs="Times-Roman"/>
          <w:sz w:val="24"/>
          <w:szCs w:val="24"/>
        </w:rPr>
        <w:t> </w:t>
      </w:r>
      <w:r w:rsidR="00874B30">
        <w:rPr>
          <w:rFonts w:ascii="Times-Roman" w:hAnsi="Times-Roman" w:cs="Times-Roman"/>
          <w:sz w:val="24"/>
          <w:szCs w:val="24"/>
        </w:rPr>
        <w:t>%</w:t>
      </w:r>
      <w:r w:rsidR="00D219F0">
        <w:rPr>
          <w:rFonts w:ascii="Times-Roman" w:hAnsi="Times-Roman" w:cs="Times-Roman"/>
          <w:sz w:val="24"/>
          <w:szCs w:val="24"/>
        </w:rPr>
        <w:t>)</w:t>
      </w:r>
      <w:r w:rsidR="00874B30">
        <w:rPr>
          <w:rFonts w:ascii="Times-Roman" w:hAnsi="Times-Roman" w:cs="Times-Roman"/>
          <w:sz w:val="24"/>
          <w:szCs w:val="24"/>
        </w:rPr>
        <w:t xml:space="preserve"> </w:t>
      </w:r>
      <w:r>
        <w:rPr>
          <w:rFonts w:ascii="Times-Roman" w:hAnsi="Times-Roman" w:cs="Times-Roman"/>
          <w:sz w:val="24"/>
          <w:szCs w:val="24"/>
        </w:rPr>
        <w:t xml:space="preserve">qui a soutenu </w:t>
      </w:r>
      <w:r w:rsidR="00D219F0">
        <w:rPr>
          <w:rFonts w:ascii="Times-Roman" w:hAnsi="Times-Roman" w:cs="Times-Roman"/>
          <w:sz w:val="24"/>
          <w:szCs w:val="24"/>
        </w:rPr>
        <w:t>le chiffre d’affaires. Cette hausse des tarifs a été supérieure à l’inflation.</w:t>
      </w:r>
    </w:p>
    <w:p w:rsidR="00E75AB5" w:rsidRDefault="00D219F0" w:rsidP="00E75AB5">
      <w:pPr>
        <w:pStyle w:val="Paragraphedeliste"/>
        <w:numPr>
          <w:ilvl w:val="0"/>
          <w:numId w:val="28"/>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L</w:t>
      </w:r>
      <w:r w:rsidR="009537F7">
        <w:rPr>
          <w:rFonts w:ascii="Times-Roman" w:hAnsi="Times-Roman" w:cs="Times-Roman"/>
          <w:sz w:val="24"/>
          <w:szCs w:val="24"/>
        </w:rPr>
        <w:t>es données montrent que l</w:t>
      </w:r>
      <w:r>
        <w:rPr>
          <w:rFonts w:ascii="Times-Roman" w:hAnsi="Times-Roman" w:cs="Times-Roman"/>
          <w:sz w:val="24"/>
          <w:szCs w:val="24"/>
        </w:rPr>
        <w:t xml:space="preserve">a rentabilité </w:t>
      </w:r>
      <w:r w:rsidR="009537F7">
        <w:rPr>
          <w:rFonts w:ascii="Times-Roman" w:hAnsi="Times-Roman" w:cs="Times-Roman"/>
          <w:sz w:val="24"/>
          <w:szCs w:val="24"/>
        </w:rPr>
        <w:t xml:space="preserve">du secteur </w:t>
      </w:r>
      <w:r>
        <w:rPr>
          <w:rFonts w:ascii="Times-Roman" w:hAnsi="Times-Roman" w:cs="Times-Roman"/>
          <w:sz w:val="24"/>
          <w:szCs w:val="24"/>
        </w:rPr>
        <w:t xml:space="preserve">peut être qualifiée d’exceptionnelle. </w:t>
      </w:r>
      <w:r w:rsidR="009537F7">
        <w:rPr>
          <w:rFonts w:ascii="Times-Roman" w:hAnsi="Times-Roman" w:cs="Times-Roman"/>
          <w:sz w:val="24"/>
          <w:szCs w:val="24"/>
        </w:rPr>
        <w:t>Le bénéfice net (c’est-à-dire après paiement de l’impôt sur les sociétés) représente 20 à 24</w:t>
      </w:r>
      <w:r w:rsidR="00B8218A">
        <w:rPr>
          <w:rFonts w:ascii="Times-Roman" w:hAnsi="Times-Roman" w:cs="Times-Roman"/>
          <w:sz w:val="24"/>
          <w:szCs w:val="24"/>
        </w:rPr>
        <w:t> </w:t>
      </w:r>
      <w:r w:rsidR="009537F7">
        <w:rPr>
          <w:rFonts w:ascii="Times-Roman" w:hAnsi="Times-Roman" w:cs="Times-Roman"/>
          <w:sz w:val="24"/>
          <w:szCs w:val="24"/>
        </w:rPr>
        <w:t>% du chiffre d’affaires</w:t>
      </w:r>
      <w:r w:rsidR="003100E5">
        <w:rPr>
          <w:rFonts w:ascii="Times-Roman" w:hAnsi="Times-Roman" w:cs="Times-Roman"/>
          <w:sz w:val="24"/>
          <w:szCs w:val="24"/>
        </w:rPr>
        <w:t>. La comparaison de ce ratio avec celui des autres activités des groupes montre son niveau exceptionnellement élevé : pour l’ensemble du groupe Vinci par exemple, le bénéfice net représente 5,1</w:t>
      </w:r>
      <w:r w:rsidR="00B8218A">
        <w:rPr>
          <w:rFonts w:ascii="Times-Roman" w:hAnsi="Times-Roman" w:cs="Times-Roman"/>
          <w:sz w:val="24"/>
          <w:szCs w:val="24"/>
        </w:rPr>
        <w:t> </w:t>
      </w:r>
      <w:r w:rsidR="003100E5">
        <w:rPr>
          <w:rFonts w:ascii="Times-Roman" w:hAnsi="Times-Roman" w:cs="Times-Roman"/>
          <w:sz w:val="24"/>
          <w:szCs w:val="24"/>
        </w:rPr>
        <w:t xml:space="preserve">% du chiffre d’affaires. Cette rentabilité apparaît d’autant plus exceptionnelle qu’elle n’est pas justifiée par le risque encouru, y compris le risque lié à l’endettement puisque les recettes des péages garantissent aisément le remboursement de la dette </w:t>
      </w:r>
      <w:r w:rsidR="001E349F">
        <w:rPr>
          <w:rFonts w:ascii="Times-Roman" w:hAnsi="Times-Roman" w:cs="Times-Roman"/>
          <w:sz w:val="24"/>
          <w:szCs w:val="24"/>
        </w:rPr>
        <w:t xml:space="preserve">et que les intérêts des emprunts sont déductibles fiscalement. </w:t>
      </w:r>
    </w:p>
    <w:p w:rsidR="00E75AB5" w:rsidRDefault="00832AD3" w:rsidP="00E75AB5">
      <w:pPr>
        <w:pStyle w:val="Paragraphedeliste"/>
        <w:numPr>
          <w:ilvl w:val="0"/>
          <w:numId w:val="28"/>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w:t>
      </w:r>
      <w:r w:rsidR="00E75AB5">
        <w:rPr>
          <w:rFonts w:ascii="Times-Roman" w:hAnsi="Times-Roman" w:cs="Times-Roman"/>
          <w:sz w:val="24"/>
          <w:szCs w:val="24"/>
        </w:rPr>
        <w:t xml:space="preserve">e pouvoir de marché </w:t>
      </w:r>
      <w:r>
        <w:rPr>
          <w:rFonts w:ascii="Times-Roman" w:hAnsi="Times-Roman" w:cs="Times-Roman"/>
          <w:sz w:val="24"/>
          <w:szCs w:val="24"/>
        </w:rPr>
        <w:t xml:space="preserve">est la capacité d’une entreprise à imposer ses prix sur le marché. Il est d’autant plus fort que le marché est concentré et que la demande est peu sensible au prix. Or, chaque société d’autoroute dispose </w:t>
      </w:r>
      <w:r w:rsidR="00902BBC">
        <w:rPr>
          <w:rFonts w:ascii="Times-Roman" w:hAnsi="Times-Roman" w:cs="Times-Roman"/>
          <w:sz w:val="24"/>
          <w:szCs w:val="24"/>
        </w:rPr>
        <w:t>de fait d’un monopole sur les trajets de la concession (elle n’est pas concurrencée par les autres sociétés d’autoroute).</w:t>
      </w:r>
      <w:r w:rsidR="00B8218A">
        <w:rPr>
          <w:rFonts w:ascii="Times-Roman" w:hAnsi="Times-Roman" w:cs="Times-Roman"/>
          <w:sz w:val="24"/>
          <w:szCs w:val="24"/>
        </w:rPr>
        <w:t xml:space="preserve"> </w:t>
      </w:r>
      <w:bookmarkStart w:id="3" w:name="_GoBack"/>
      <w:bookmarkEnd w:id="3"/>
      <w:r w:rsidR="00902BBC">
        <w:rPr>
          <w:rFonts w:ascii="Times-Roman" w:hAnsi="Times-Roman" w:cs="Times-Roman"/>
          <w:sz w:val="24"/>
          <w:szCs w:val="24"/>
        </w:rPr>
        <w:t xml:space="preserve">De plus, chaque marché est protégé par la faible substituabilité avec les autres modes de transport (train ou avion, souvent plus chers et moins pratiques notamment quand on voyage à plusieurs et avec bagages) et avec les trajets sur les routes classiques (l’autoroute est plus rapide et plus sûre). Il s’ensuit une faible élasticité de la demande au prix : le risque de voir baisser le trafic quand le tarif des péages augmente est faible.  </w:t>
      </w:r>
    </w:p>
    <w:p w:rsidR="00405804" w:rsidRPr="003E1EAB" w:rsidRDefault="00C24C51" w:rsidP="000A7635">
      <w:pPr>
        <w:pStyle w:val="Paragraphedeliste"/>
        <w:numPr>
          <w:ilvl w:val="0"/>
          <w:numId w:val="28"/>
        </w:numPr>
        <w:autoSpaceDE w:val="0"/>
        <w:autoSpaceDN w:val="0"/>
        <w:adjustRightInd w:val="0"/>
        <w:spacing w:after="0" w:line="240" w:lineRule="auto"/>
        <w:rPr>
          <w:rFonts w:cs="Times New Roman"/>
          <w:sz w:val="24"/>
          <w:szCs w:val="24"/>
        </w:rPr>
      </w:pPr>
      <w:r w:rsidRPr="003E1EAB">
        <w:rPr>
          <w:rFonts w:ascii="Times-Roman" w:hAnsi="Times-Roman" w:cs="Times-Roman"/>
          <w:sz w:val="24"/>
          <w:szCs w:val="24"/>
        </w:rPr>
        <w:t>L</w:t>
      </w:r>
      <w:r w:rsidR="00E75AB5" w:rsidRPr="003E1EAB">
        <w:rPr>
          <w:rFonts w:ascii="Times-Roman" w:hAnsi="Times-Roman" w:cs="Times-Roman"/>
          <w:sz w:val="24"/>
          <w:szCs w:val="24"/>
        </w:rPr>
        <w:t xml:space="preserve">es gagnants </w:t>
      </w:r>
      <w:r w:rsidRPr="003E1EAB">
        <w:rPr>
          <w:rFonts w:ascii="Times-Roman" w:hAnsi="Times-Roman" w:cs="Times-Roman"/>
          <w:sz w:val="24"/>
          <w:szCs w:val="24"/>
        </w:rPr>
        <w:t>sont les sociétés d’autoroutes qui profitent d’une rente de monopole et leurs actionnaires qui bénéficient de généreuses distributions de dividendes. Les perdants sont les usagers et l’</w:t>
      </w:r>
      <w:r w:rsidR="00B8218A">
        <w:rPr>
          <w:rFonts w:ascii="Times-Roman" w:hAnsi="Times-Roman" w:cs="Times-Roman"/>
          <w:sz w:val="24"/>
          <w:szCs w:val="24"/>
        </w:rPr>
        <w:t>É</w:t>
      </w:r>
      <w:r w:rsidRPr="003E1EAB">
        <w:rPr>
          <w:rFonts w:ascii="Times-Roman" w:hAnsi="Times-Roman" w:cs="Times-Roman"/>
          <w:sz w:val="24"/>
          <w:szCs w:val="24"/>
        </w:rPr>
        <w:t xml:space="preserve">tat </w:t>
      </w:r>
      <w:r w:rsidR="003E1EAB" w:rsidRPr="003E1EAB">
        <w:rPr>
          <w:rFonts w:ascii="Times-Roman" w:hAnsi="Times-Roman" w:cs="Times-Roman"/>
          <w:sz w:val="24"/>
          <w:szCs w:val="24"/>
        </w:rPr>
        <w:t xml:space="preserve">propriétaire du réseau qui devrait, selon l’Autorité de la concurrence, </w:t>
      </w:r>
      <w:proofErr w:type="gramStart"/>
      <w:r w:rsidR="003E1EAB" w:rsidRPr="003E1EAB">
        <w:rPr>
          <w:rFonts w:ascii="Times-Roman" w:hAnsi="Times-Roman" w:cs="Times-Roman"/>
          <w:sz w:val="24"/>
          <w:szCs w:val="24"/>
        </w:rPr>
        <w:t>renégocier</w:t>
      </w:r>
      <w:proofErr w:type="gramEnd"/>
      <w:r w:rsidR="003E1EAB" w:rsidRPr="003E1EAB">
        <w:rPr>
          <w:rFonts w:ascii="Times-Roman" w:hAnsi="Times-Roman" w:cs="Times-Roman"/>
          <w:sz w:val="24"/>
          <w:szCs w:val="24"/>
        </w:rPr>
        <w:t xml:space="preserve"> avec les sociétés d’autoroute afin </w:t>
      </w:r>
      <w:r w:rsidR="003E1EAB">
        <w:rPr>
          <w:rFonts w:ascii="Times-Roman" w:hAnsi="Times-Roman" w:cs="Times-Roman"/>
          <w:sz w:val="24"/>
          <w:szCs w:val="24"/>
        </w:rPr>
        <w:t xml:space="preserve">de réguler le secteur dans l’intérêt général (revoir les tarifs et partager les bénéfices). </w:t>
      </w:r>
    </w:p>
    <w:sectPr w:rsidR="00405804" w:rsidRPr="003E1EAB" w:rsidSect="001A51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9FA" w:rsidRDefault="002C39FA">
      <w:pPr>
        <w:spacing w:after="0" w:line="240" w:lineRule="auto"/>
      </w:pPr>
      <w:r>
        <w:separator/>
      </w:r>
    </w:p>
  </w:endnote>
  <w:endnote w:type="continuationSeparator" w:id="0">
    <w:p w:rsidR="002C39FA" w:rsidRDefault="002C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49368B" w:rsidRDefault="00315637">
        <w:pPr>
          <w:pStyle w:val="Pieddepage"/>
          <w:jc w:val="right"/>
        </w:pPr>
        <w:r>
          <w:fldChar w:fldCharType="begin"/>
        </w:r>
        <w:r>
          <w:instrText xml:space="preserve"> PAGE   \* MERGEFORMAT </w:instrText>
        </w:r>
        <w:r>
          <w:fldChar w:fldCharType="separate"/>
        </w:r>
        <w:r w:rsidR="00B8218A">
          <w:rPr>
            <w:noProof/>
          </w:rPr>
          <w:t>3</w:t>
        </w:r>
        <w:r>
          <w:rPr>
            <w:noProof/>
          </w:rPr>
          <w:fldChar w:fldCharType="end"/>
        </w:r>
      </w:p>
    </w:sdtContent>
  </w:sdt>
  <w:p w:rsidR="0049368B" w:rsidRDefault="002C39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9FA" w:rsidRDefault="002C39FA">
      <w:pPr>
        <w:spacing w:after="0" w:line="240" w:lineRule="auto"/>
      </w:pPr>
      <w:r>
        <w:separator/>
      </w:r>
    </w:p>
  </w:footnote>
  <w:footnote w:type="continuationSeparator" w:id="0">
    <w:p w:rsidR="002C39FA" w:rsidRDefault="002C3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8B" w:rsidRDefault="00315637" w:rsidP="0049368B">
    <w:pPr>
      <w:pStyle w:val="En-tte"/>
      <w:jc w:val="right"/>
    </w:pPr>
    <w:r>
      <w:t>Actu SES © Hatier – Joëlle Bails</w:t>
    </w:r>
  </w:p>
  <w:p w:rsidR="0049368B" w:rsidRDefault="00315637" w:rsidP="0049368B">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6"/>
  </w:num>
  <w:num w:numId="3">
    <w:abstractNumId w:val="2"/>
  </w:num>
  <w:num w:numId="4">
    <w:abstractNumId w:val="27"/>
  </w:num>
  <w:num w:numId="5">
    <w:abstractNumId w:val="0"/>
  </w:num>
  <w:num w:numId="6">
    <w:abstractNumId w:val="20"/>
  </w:num>
  <w:num w:numId="7">
    <w:abstractNumId w:val="14"/>
  </w:num>
  <w:num w:numId="8">
    <w:abstractNumId w:val="17"/>
  </w:num>
  <w:num w:numId="9">
    <w:abstractNumId w:val="26"/>
  </w:num>
  <w:num w:numId="10">
    <w:abstractNumId w:val="11"/>
  </w:num>
  <w:num w:numId="11">
    <w:abstractNumId w:val="7"/>
  </w:num>
  <w:num w:numId="12">
    <w:abstractNumId w:val="25"/>
  </w:num>
  <w:num w:numId="13">
    <w:abstractNumId w:val="19"/>
  </w:num>
  <w:num w:numId="14">
    <w:abstractNumId w:val="21"/>
  </w:num>
  <w:num w:numId="15">
    <w:abstractNumId w:val="5"/>
  </w:num>
  <w:num w:numId="16">
    <w:abstractNumId w:val="3"/>
  </w:num>
  <w:num w:numId="17">
    <w:abstractNumId w:val="1"/>
  </w:num>
  <w:num w:numId="18">
    <w:abstractNumId w:val="9"/>
  </w:num>
  <w:num w:numId="19">
    <w:abstractNumId w:val="6"/>
  </w:num>
  <w:num w:numId="20">
    <w:abstractNumId w:val="15"/>
  </w:num>
  <w:num w:numId="21">
    <w:abstractNumId w:val="10"/>
  </w:num>
  <w:num w:numId="22">
    <w:abstractNumId w:val="22"/>
  </w:num>
  <w:num w:numId="23">
    <w:abstractNumId w:val="24"/>
  </w:num>
  <w:num w:numId="24">
    <w:abstractNumId w:val="18"/>
  </w:num>
  <w:num w:numId="25">
    <w:abstractNumId w:val="23"/>
  </w:num>
  <w:num w:numId="26">
    <w:abstractNumId w:val="12"/>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50E1"/>
    <w:rsid w:val="0000642A"/>
    <w:rsid w:val="0000776E"/>
    <w:rsid w:val="000077E8"/>
    <w:rsid w:val="00007920"/>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38E6"/>
    <w:rsid w:val="000A43B1"/>
    <w:rsid w:val="000A44CC"/>
    <w:rsid w:val="000A4ECA"/>
    <w:rsid w:val="000A5AD2"/>
    <w:rsid w:val="000A6026"/>
    <w:rsid w:val="000A609E"/>
    <w:rsid w:val="000A6844"/>
    <w:rsid w:val="000A7154"/>
    <w:rsid w:val="000A7552"/>
    <w:rsid w:val="000A7635"/>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54AC"/>
    <w:rsid w:val="000E6678"/>
    <w:rsid w:val="000E6C42"/>
    <w:rsid w:val="000F0820"/>
    <w:rsid w:val="000F1B44"/>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E7"/>
    <w:rsid w:val="001079FD"/>
    <w:rsid w:val="001110B1"/>
    <w:rsid w:val="0011184C"/>
    <w:rsid w:val="0011272C"/>
    <w:rsid w:val="00113C0D"/>
    <w:rsid w:val="00114C77"/>
    <w:rsid w:val="001153B0"/>
    <w:rsid w:val="00115990"/>
    <w:rsid w:val="00116229"/>
    <w:rsid w:val="001164E5"/>
    <w:rsid w:val="00116C5B"/>
    <w:rsid w:val="0011722F"/>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638"/>
    <w:rsid w:val="00141CC3"/>
    <w:rsid w:val="001422DA"/>
    <w:rsid w:val="00144D47"/>
    <w:rsid w:val="00145E54"/>
    <w:rsid w:val="0014624F"/>
    <w:rsid w:val="0014630A"/>
    <w:rsid w:val="00150299"/>
    <w:rsid w:val="00152A52"/>
    <w:rsid w:val="00152C1C"/>
    <w:rsid w:val="001550DF"/>
    <w:rsid w:val="001563D4"/>
    <w:rsid w:val="00157B40"/>
    <w:rsid w:val="00160C47"/>
    <w:rsid w:val="00160F9B"/>
    <w:rsid w:val="001617EB"/>
    <w:rsid w:val="00161A8B"/>
    <w:rsid w:val="0016213C"/>
    <w:rsid w:val="001631C0"/>
    <w:rsid w:val="0016461B"/>
    <w:rsid w:val="00164893"/>
    <w:rsid w:val="00165052"/>
    <w:rsid w:val="00165100"/>
    <w:rsid w:val="001652D4"/>
    <w:rsid w:val="00165F6B"/>
    <w:rsid w:val="001662C9"/>
    <w:rsid w:val="00166AB9"/>
    <w:rsid w:val="0016725E"/>
    <w:rsid w:val="00167354"/>
    <w:rsid w:val="0016745B"/>
    <w:rsid w:val="00167DB2"/>
    <w:rsid w:val="001710F1"/>
    <w:rsid w:val="00172F6E"/>
    <w:rsid w:val="0017425D"/>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46C3"/>
    <w:rsid w:val="001C51FB"/>
    <w:rsid w:val="001C77DC"/>
    <w:rsid w:val="001D1984"/>
    <w:rsid w:val="001D289F"/>
    <w:rsid w:val="001D2B67"/>
    <w:rsid w:val="001D373C"/>
    <w:rsid w:val="001D3E3F"/>
    <w:rsid w:val="001D4F6F"/>
    <w:rsid w:val="001D5862"/>
    <w:rsid w:val="001D5A7C"/>
    <w:rsid w:val="001D6AE8"/>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B3E"/>
    <w:rsid w:val="00215556"/>
    <w:rsid w:val="002156C4"/>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401D9"/>
    <w:rsid w:val="00240251"/>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628A7"/>
    <w:rsid w:val="002629AD"/>
    <w:rsid w:val="002632C5"/>
    <w:rsid w:val="00263C5F"/>
    <w:rsid w:val="0026416F"/>
    <w:rsid w:val="00267ED8"/>
    <w:rsid w:val="0027128F"/>
    <w:rsid w:val="00271CE8"/>
    <w:rsid w:val="0027349C"/>
    <w:rsid w:val="002738C4"/>
    <w:rsid w:val="0027397D"/>
    <w:rsid w:val="00275F4B"/>
    <w:rsid w:val="00276400"/>
    <w:rsid w:val="002767B3"/>
    <w:rsid w:val="00277867"/>
    <w:rsid w:val="00277A95"/>
    <w:rsid w:val="0028061C"/>
    <w:rsid w:val="00280B40"/>
    <w:rsid w:val="00281857"/>
    <w:rsid w:val="002825A5"/>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2057"/>
    <w:rsid w:val="002C2341"/>
    <w:rsid w:val="002C2381"/>
    <w:rsid w:val="002C3420"/>
    <w:rsid w:val="002C38D0"/>
    <w:rsid w:val="002C39FA"/>
    <w:rsid w:val="002C4BC3"/>
    <w:rsid w:val="002C4CBA"/>
    <w:rsid w:val="002C695A"/>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5EE1"/>
    <w:rsid w:val="003100E5"/>
    <w:rsid w:val="00310217"/>
    <w:rsid w:val="0031042D"/>
    <w:rsid w:val="00310F15"/>
    <w:rsid w:val="0031206F"/>
    <w:rsid w:val="00312DFE"/>
    <w:rsid w:val="00313B6E"/>
    <w:rsid w:val="00313C21"/>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536"/>
    <w:rsid w:val="00354618"/>
    <w:rsid w:val="00354977"/>
    <w:rsid w:val="003549A3"/>
    <w:rsid w:val="0035577A"/>
    <w:rsid w:val="00356666"/>
    <w:rsid w:val="0035699E"/>
    <w:rsid w:val="003573B6"/>
    <w:rsid w:val="00357524"/>
    <w:rsid w:val="0035773C"/>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809CC"/>
    <w:rsid w:val="00380EFF"/>
    <w:rsid w:val="003814C6"/>
    <w:rsid w:val="003814DD"/>
    <w:rsid w:val="00381745"/>
    <w:rsid w:val="00381CEE"/>
    <w:rsid w:val="003821C1"/>
    <w:rsid w:val="0038403C"/>
    <w:rsid w:val="00384D72"/>
    <w:rsid w:val="0038576A"/>
    <w:rsid w:val="00385921"/>
    <w:rsid w:val="003859E1"/>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6278"/>
    <w:rsid w:val="003B730F"/>
    <w:rsid w:val="003B7F0A"/>
    <w:rsid w:val="003C14B7"/>
    <w:rsid w:val="003C1D07"/>
    <w:rsid w:val="003C1FA6"/>
    <w:rsid w:val="003C2133"/>
    <w:rsid w:val="003C5266"/>
    <w:rsid w:val="003C5A88"/>
    <w:rsid w:val="003D1DDA"/>
    <w:rsid w:val="003D2645"/>
    <w:rsid w:val="003D4AF3"/>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6EE"/>
    <w:rsid w:val="003E52EC"/>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168F"/>
    <w:rsid w:val="0041295E"/>
    <w:rsid w:val="00412974"/>
    <w:rsid w:val="00413383"/>
    <w:rsid w:val="004134DF"/>
    <w:rsid w:val="00413F97"/>
    <w:rsid w:val="0041407D"/>
    <w:rsid w:val="00414E08"/>
    <w:rsid w:val="0041569C"/>
    <w:rsid w:val="00416461"/>
    <w:rsid w:val="004167FB"/>
    <w:rsid w:val="00417979"/>
    <w:rsid w:val="00423125"/>
    <w:rsid w:val="004234DF"/>
    <w:rsid w:val="0042354A"/>
    <w:rsid w:val="004240D3"/>
    <w:rsid w:val="00424E55"/>
    <w:rsid w:val="0042504F"/>
    <w:rsid w:val="0042526A"/>
    <w:rsid w:val="00425288"/>
    <w:rsid w:val="00425EE4"/>
    <w:rsid w:val="004276BB"/>
    <w:rsid w:val="00431E27"/>
    <w:rsid w:val="00433C71"/>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C67"/>
    <w:rsid w:val="00455821"/>
    <w:rsid w:val="004572A0"/>
    <w:rsid w:val="0046132A"/>
    <w:rsid w:val="0046141F"/>
    <w:rsid w:val="00463E07"/>
    <w:rsid w:val="0046585E"/>
    <w:rsid w:val="00470090"/>
    <w:rsid w:val="00470943"/>
    <w:rsid w:val="00470CBA"/>
    <w:rsid w:val="00470F09"/>
    <w:rsid w:val="00471FF8"/>
    <w:rsid w:val="0047219C"/>
    <w:rsid w:val="0047300E"/>
    <w:rsid w:val="00473409"/>
    <w:rsid w:val="00475AA0"/>
    <w:rsid w:val="00475F26"/>
    <w:rsid w:val="0047608B"/>
    <w:rsid w:val="00476503"/>
    <w:rsid w:val="00477660"/>
    <w:rsid w:val="00481618"/>
    <w:rsid w:val="0048174D"/>
    <w:rsid w:val="00482423"/>
    <w:rsid w:val="00483669"/>
    <w:rsid w:val="0048462E"/>
    <w:rsid w:val="004852F8"/>
    <w:rsid w:val="0048599A"/>
    <w:rsid w:val="004860B0"/>
    <w:rsid w:val="00486746"/>
    <w:rsid w:val="00486D9A"/>
    <w:rsid w:val="00490006"/>
    <w:rsid w:val="0049116B"/>
    <w:rsid w:val="00492F36"/>
    <w:rsid w:val="00493C8C"/>
    <w:rsid w:val="00494171"/>
    <w:rsid w:val="004949B6"/>
    <w:rsid w:val="0049505D"/>
    <w:rsid w:val="004954A8"/>
    <w:rsid w:val="004968E4"/>
    <w:rsid w:val="00496A4D"/>
    <w:rsid w:val="0049775C"/>
    <w:rsid w:val="004A132E"/>
    <w:rsid w:val="004A21CC"/>
    <w:rsid w:val="004A5772"/>
    <w:rsid w:val="004A5DDA"/>
    <w:rsid w:val="004A5EBC"/>
    <w:rsid w:val="004A6E2A"/>
    <w:rsid w:val="004A7673"/>
    <w:rsid w:val="004B0321"/>
    <w:rsid w:val="004B0545"/>
    <w:rsid w:val="004B0753"/>
    <w:rsid w:val="004B0A25"/>
    <w:rsid w:val="004B15BD"/>
    <w:rsid w:val="004B27F8"/>
    <w:rsid w:val="004B29FB"/>
    <w:rsid w:val="004B523E"/>
    <w:rsid w:val="004B540D"/>
    <w:rsid w:val="004B58F8"/>
    <w:rsid w:val="004B5B5B"/>
    <w:rsid w:val="004B6AF4"/>
    <w:rsid w:val="004B6DF1"/>
    <w:rsid w:val="004B779F"/>
    <w:rsid w:val="004C014F"/>
    <w:rsid w:val="004C08C4"/>
    <w:rsid w:val="004C103B"/>
    <w:rsid w:val="004C1396"/>
    <w:rsid w:val="004C1885"/>
    <w:rsid w:val="004C69FE"/>
    <w:rsid w:val="004D04D1"/>
    <w:rsid w:val="004D0FAD"/>
    <w:rsid w:val="004D23A7"/>
    <w:rsid w:val="004D3481"/>
    <w:rsid w:val="004D36E0"/>
    <w:rsid w:val="004D37ED"/>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631"/>
    <w:rsid w:val="004F2683"/>
    <w:rsid w:val="004F2F84"/>
    <w:rsid w:val="004F4691"/>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60DD8"/>
    <w:rsid w:val="00560E4A"/>
    <w:rsid w:val="00560ECD"/>
    <w:rsid w:val="00561C12"/>
    <w:rsid w:val="00561C72"/>
    <w:rsid w:val="00561CA1"/>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7C3"/>
    <w:rsid w:val="00582FCD"/>
    <w:rsid w:val="0058347D"/>
    <w:rsid w:val="00584114"/>
    <w:rsid w:val="005849F3"/>
    <w:rsid w:val="00585066"/>
    <w:rsid w:val="0058655B"/>
    <w:rsid w:val="0058705C"/>
    <w:rsid w:val="00587474"/>
    <w:rsid w:val="005876FA"/>
    <w:rsid w:val="00587795"/>
    <w:rsid w:val="005879C0"/>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7EED"/>
    <w:rsid w:val="005E2EDB"/>
    <w:rsid w:val="005E3E43"/>
    <w:rsid w:val="005E4E4A"/>
    <w:rsid w:val="005E5319"/>
    <w:rsid w:val="005E5700"/>
    <w:rsid w:val="005F0ED3"/>
    <w:rsid w:val="005F17E6"/>
    <w:rsid w:val="005F1A10"/>
    <w:rsid w:val="005F1AE5"/>
    <w:rsid w:val="005F1F7C"/>
    <w:rsid w:val="005F2185"/>
    <w:rsid w:val="005F222F"/>
    <w:rsid w:val="005F2761"/>
    <w:rsid w:val="005F2A98"/>
    <w:rsid w:val="005F2ADB"/>
    <w:rsid w:val="005F2CCD"/>
    <w:rsid w:val="005F3079"/>
    <w:rsid w:val="005F31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6AD7"/>
    <w:rsid w:val="0060706D"/>
    <w:rsid w:val="0061034A"/>
    <w:rsid w:val="00610483"/>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70CD"/>
    <w:rsid w:val="0063711B"/>
    <w:rsid w:val="006376F3"/>
    <w:rsid w:val="00641023"/>
    <w:rsid w:val="006417AA"/>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3F7C"/>
    <w:rsid w:val="0068487D"/>
    <w:rsid w:val="006848BA"/>
    <w:rsid w:val="00690166"/>
    <w:rsid w:val="00690F64"/>
    <w:rsid w:val="006917B5"/>
    <w:rsid w:val="006937A9"/>
    <w:rsid w:val="00693C26"/>
    <w:rsid w:val="006955E1"/>
    <w:rsid w:val="00696114"/>
    <w:rsid w:val="00696550"/>
    <w:rsid w:val="00696573"/>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7779"/>
    <w:rsid w:val="006C003B"/>
    <w:rsid w:val="006C055B"/>
    <w:rsid w:val="006C088E"/>
    <w:rsid w:val="006C12F5"/>
    <w:rsid w:val="006C1A69"/>
    <w:rsid w:val="006C3821"/>
    <w:rsid w:val="006C53FB"/>
    <w:rsid w:val="006C6CB7"/>
    <w:rsid w:val="006D111C"/>
    <w:rsid w:val="006D25AA"/>
    <w:rsid w:val="006D2CD1"/>
    <w:rsid w:val="006D37BE"/>
    <w:rsid w:val="006D3D8D"/>
    <w:rsid w:val="006D45E0"/>
    <w:rsid w:val="006E01B0"/>
    <w:rsid w:val="006E0719"/>
    <w:rsid w:val="006E09F8"/>
    <w:rsid w:val="006E0D50"/>
    <w:rsid w:val="006E304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270E"/>
    <w:rsid w:val="00732947"/>
    <w:rsid w:val="00734093"/>
    <w:rsid w:val="0073475A"/>
    <w:rsid w:val="00734EF2"/>
    <w:rsid w:val="00735150"/>
    <w:rsid w:val="00735B9F"/>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D30"/>
    <w:rsid w:val="00752D58"/>
    <w:rsid w:val="00752E6C"/>
    <w:rsid w:val="00754DC6"/>
    <w:rsid w:val="00754F5F"/>
    <w:rsid w:val="007552D8"/>
    <w:rsid w:val="0075574D"/>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1385"/>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D3E"/>
    <w:rsid w:val="007C042E"/>
    <w:rsid w:val="007C0837"/>
    <w:rsid w:val="007C0CD8"/>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800E30"/>
    <w:rsid w:val="00800F19"/>
    <w:rsid w:val="00800F84"/>
    <w:rsid w:val="008013EA"/>
    <w:rsid w:val="00801512"/>
    <w:rsid w:val="008029FF"/>
    <w:rsid w:val="00802C76"/>
    <w:rsid w:val="0080393A"/>
    <w:rsid w:val="0080596A"/>
    <w:rsid w:val="00807CFB"/>
    <w:rsid w:val="00811D63"/>
    <w:rsid w:val="00815068"/>
    <w:rsid w:val="008207C7"/>
    <w:rsid w:val="00820AF1"/>
    <w:rsid w:val="0082134B"/>
    <w:rsid w:val="008213FD"/>
    <w:rsid w:val="008216C7"/>
    <w:rsid w:val="00822B77"/>
    <w:rsid w:val="00822FF6"/>
    <w:rsid w:val="008231F7"/>
    <w:rsid w:val="00823C13"/>
    <w:rsid w:val="0082436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CD7"/>
    <w:rsid w:val="008422EA"/>
    <w:rsid w:val="00842BCC"/>
    <w:rsid w:val="00843730"/>
    <w:rsid w:val="008437D9"/>
    <w:rsid w:val="00843F5E"/>
    <w:rsid w:val="008456F5"/>
    <w:rsid w:val="00846B40"/>
    <w:rsid w:val="0084720D"/>
    <w:rsid w:val="00847B93"/>
    <w:rsid w:val="00847DF8"/>
    <w:rsid w:val="0085034C"/>
    <w:rsid w:val="00850EC0"/>
    <w:rsid w:val="00851AE8"/>
    <w:rsid w:val="00851C27"/>
    <w:rsid w:val="00852B30"/>
    <w:rsid w:val="00853BC7"/>
    <w:rsid w:val="0085464B"/>
    <w:rsid w:val="0085475B"/>
    <w:rsid w:val="00854794"/>
    <w:rsid w:val="008549BD"/>
    <w:rsid w:val="0085539E"/>
    <w:rsid w:val="00855CFE"/>
    <w:rsid w:val="008560E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27C8"/>
    <w:rsid w:val="00882C6E"/>
    <w:rsid w:val="008834DA"/>
    <w:rsid w:val="008835CC"/>
    <w:rsid w:val="008837BB"/>
    <w:rsid w:val="00885E42"/>
    <w:rsid w:val="008871FC"/>
    <w:rsid w:val="00890840"/>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D1919"/>
    <w:rsid w:val="008D288B"/>
    <w:rsid w:val="008D4835"/>
    <w:rsid w:val="008D6BD0"/>
    <w:rsid w:val="008D6CA0"/>
    <w:rsid w:val="008D795B"/>
    <w:rsid w:val="008D7C6C"/>
    <w:rsid w:val="008E01B5"/>
    <w:rsid w:val="008E070D"/>
    <w:rsid w:val="008E0AC3"/>
    <w:rsid w:val="008E0B05"/>
    <w:rsid w:val="008E14D4"/>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20756"/>
    <w:rsid w:val="009216C3"/>
    <w:rsid w:val="00921B3C"/>
    <w:rsid w:val="00922459"/>
    <w:rsid w:val="00922471"/>
    <w:rsid w:val="00923BFC"/>
    <w:rsid w:val="009245C3"/>
    <w:rsid w:val="00925DEB"/>
    <w:rsid w:val="009262DF"/>
    <w:rsid w:val="00926C08"/>
    <w:rsid w:val="00926D90"/>
    <w:rsid w:val="00930FC1"/>
    <w:rsid w:val="00932D6B"/>
    <w:rsid w:val="00933995"/>
    <w:rsid w:val="00934A03"/>
    <w:rsid w:val="00940322"/>
    <w:rsid w:val="00940347"/>
    <w:rsid w:val="00940861"/>
    <w:rsid w:val="00941085"/>
    <w:rsid w:val="009412EF"/>
    <w:rsid w:val="00941BED"/>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1A3E"/>
    <w:rsid w:val="00951B8C"/>
    <w:rsid w:val="0095235C"/>
    <w:rsid w:val="009537F7"/>
    <w:rsid w:val="00953954"/>
    <w:rsid w:val="009540B8"/>
    <w:rsid w:val="00956DBF"/>
    <w:rsid w:val="00960E09"/>
    <w:rsid w:val="00961824"/>
    <w:rsid w:val="00962D7C"/>
    <w:rsid w:val="00963288"/>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198C"/>
    <w:rsid w:val="009A1D99"/>
    <w:rsid w:val="009A2C3D"/>
    <w:rsid w:val="009A429D"/>
    <w:rsid w:val="009A4F71"/>
    <w:rsid w:val="009A5920"/>
    <w:rsid w:val="009A615A"/>
    <w:rsid w:val="009A76AA"/>
    <w:rsid w:val="009B05BB"/>
    <w:rsid w:val="009B153B"/>
    <w:rsid w:val="009B1571"/>
    <w:rsid w:val="009B2456"/>
    <w:rsid w:val="009B279B"/>
    <w:rsid w:val="009B42C8"/>
    <w:rsid w:val="009B4710"/>
    <w:rsid w:val="009B4CDE"/>
    <w:rsid w:val="009B51E4"/>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E2ABB"/>
    <w:rsid w:val="009E36AF"/>
    <w:rsid w:val="009E4579"/>
    <w:rsid w:val="009E4909"/>
    <w:rsid w:val="009E498B"/>
    <w:rsid w:val="009E4DB7"/>
    <w:rsid w:val="009E6FCB"/>
    <w:rsid w:val="009F0007"/>
    <w:rsid w:val="009F0375"/>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765A"/>
    <w:rsid w:val="00A07970"/>
    <w:rsid w:val="00A07C2B"/>
    <w:rsid w:val="00A106C7"/>
    <w:rsid w:val="00A10EB9"/>
    <w:rsid w:val="00A113DB"/>
    <w:rsid w:val="00A13122"/>
    <w:rsid w:val="00A14263"/>
    <w:rsid w:val="00A15968"/>
    <w:rsid w:val="00A15F6A"/>
    <w:rsid w:val="00A1600B"/>
    <w:rsid w:val="00A16558"/>
    <w:rsid w:val="00A172EF"/>
    <w:rsid w:val="00A17D9C"/>
    <w:rsid w:val="00A17E5D"/>
    <w:rsid w:val="00A2197A"/>
    <w:rsid w:val="00A24346"/>
    <w:rsid w:val="00A244C1"/>
    <w:rsid w:val="00A24DCB"/>
    <w:rsid w:val="00A250CF"/>
    <w:rsid w:val="00A255C5"/>
    <w:rsid w:val="00A3002A"/>
    <w:rsid w:val="00A300B4"/>
    <w:rsid w:val="00A30108"/>
    <w:rsid w:val="00A306DC"/>
    <w:rsid w:val="00A309B6"/>
    <w:rsid w:val="00A3175A"/>
    <w:rsid w:val="00A31DA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FFA"/>
    <w:rsid w:val="00A52673"/>
    <w:rsid w:val="00A55C0B"/>
    <w:rsid w:val="00A56CDE"/>
    <w:rsid w:val="00A574DB"/>
    <w:rsid w:val="00A57EAA"/>
    <w:rsid w:val="00A606A7"/>
    <w:rsid w:val="00A60FB7"/>
    <w:rsid w:val="00A612B4"/>
    <w:rsid w:val="00A61754"/>
    <w:rsid w:val="00A62A6D"/>
    <w:rsid w:val="00A63128"/>
    <w:rsid w:val="00A63A94"/>
    <w:rsid w:val="00A640CC"/>
    <w:rsid w:val="00A65CB9"/>
    <w:rsid w:val="00A65D5B"/>
    <w:rsid w:val="00A660BA"/>
    <w:rsid w:val="00A673CD"/>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139B"/>
    <w:rsid w:val="00AA15EE"/>
    <w:rsid w:val="00AA1D5D"/>
    <w:rsid w:val="00AA1E00"/>
    <w:rsid w:val="00AA2BA5"/>
    <w:rsid w:val="00AA2BD8"/>
    <w:rsid w:val="00AA45C6"/>
    <w:rsid w:val="00AA597A"/>
    <w:rsid w:val="00AA608F"/>
    <w:rsid w:val="00AA7999"/>
    <w:rsid w:val="00AB076B"/>
    <w:rsid w:val="00AB1449"/>
    <w:rsid w:val="00AB209E"/>
    <w:rsid w:val="00AB2FA6"/>
    <w:rsid w:val="00AB5B8F"/>
    <w:rsid w:val="00AB5FB1"/>
    <w:rsid w:val="00AB6E6B"/>
    <w:rsid w:val="00AB7BBB"/>
    <w:rsid w:val="00AC0407"/>
    <w:rsid w:val="00AC2109"/>
    <w:rsid w:val="00AC3C28"/>
    <w:rsid w:val="00AC3EE7"/>
    <w:rsid w:val="00AC4044"/>
    <w:rsid w:val="00AC5972"/>
    <w:rsid w:val="00AC697B"/>
    <w:rsid w:val="00AC6C01"/>
    <w:rsid w:val="00AC6FF9"/>
    <w:rsid w:val="00AC75F0"/>
    <w:rsid w:val="00AC77B3"/>
    <w:rsid w:val="00AD0987"/>
    <w:rsid w:val="00AD0ADD"/>
    <w:rsid w:val="00AD1533"/>
    <w:rsid w:val="00AD471B"/>
    <w:rsid w:val="00AD4CF5"/>
    <w:rsid w:val="00AD649B"/>
    <w:rsid w:val="00AD70AD"/>
    <w:rsid w:val="00AE0673"/>
    <w:rsid w:val="00AE2627"/>
    <w:rsid w:val="00AE2F37"/>
    <w:rsid w:val="00AE2FA9"/>
    <w:rsid w:val="00AE3591"/>
    <w:rsid w:val="00AE5219"/>
    <w:rsid w:val="00AE540C"/>
    <w:rsid w:val="00AE586B"/>
    <w:rsid w:val="00AE73D9"/>
    <w:rsid w:val="00AE76C6"/>
    <w:rsid w:val="00AE7D58"/>
    <w:rsid w:val="00AF2E99"/>
    <w:rsid w:val="00AF3663"/>
    <w:rsid w:val="00AF3EC4"/>
    <w:rsid w:val="00AF4C0D"/>
    <w:rsid w:val="00AF5687"/>
    <w:rsid w:val="00AF5E56"/>
    <w:rsid w:val="00AF67A0"/>
    <w:rsid w:val="00B0062B"/>
    <w:rsid w:val="00B00D66"/>
    <w:rsid w:val="00B012E0"/>
    <w:rsid w:val="00B01994"/>
    <w:rsid w:val="00B03C33"/>
    <w:rsid w:val="00B07089"/>
    <w:rsid w:val="00B07BBB"/>
    <w:rsid w:val="00B07CB8"/>
    <w:rsid w:val="00B104C0"/>
    <w:rsid w:val="00B121E7"/>
    <w:rsid w:val="00B12497"/>
    <w:rsid w:val="00B12C6A"/>
    <w:rsid w:val="00B16269"/>
    <w:rsid w:val="00B16C43"/>
    <w:rsid w:val="00B20585"/>
    <w:rsid w:val="00B21596"/>
    <w:rsid w:val="00B21927"/>
    <w:rsid w:val="00B2204D"/>
    <w:rsid w:val="00B224CD"/>
    <w:rsid w:val="00B22D07"/>
    <w:rsid w:val="00B22F27"/>
    <w:rsid w:val="00B2359A"/>
    <w:rsid w:val="00B23F88"/>
    <w:rsid w:val="00B246D4"/>
    <w:rsid w:val="00B25390"/>
    <w:rsid w:val="00B27781"/>
    <w:rsid w:val="00B3033B"/>
    <w:rsid w:val="00B30B69"/>
    <w:rsid w:val="00B31DA8"/>
    <w:rsid w:val="00B32A6B"/>
    <w:rsid w:val="00B32DFF"/>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18A"/>
    <w:rsid w:val="00B824A9"/>
    <w:rsid w:val="00B82FF1"/>
    <w:rsid w:val="00B83545"/>
    <w:rsid w:val="00B839D5"/>
    <w:rsid w:val="00B83E35"/>
    <w:rsid w:val="00B850C5"/>
    <w:rsid w:val="00B85AA4"/>
    <w:rsid w:val="00B85FF9"/>
    <w:rsid w:val="00B87FEB"/>
    <w:rsid w:val="00B9069B"/>
    <w:rsid w:val="00B91F4B"/>
    <w:rsid w:val="00B92491"/>
    <w:rsid w:val="00B92A87"/>
    <w:rsid w:val="00B92E59"/>
    <w:rsid w:val="00B94526"/>
    <w:rsid w:val="00B94CCA"/>
    <w:rsid w:val="00B9567B"/>
    <w:rsid w:val="00B96B10"/>
    <w:rsid w:val="00BA019F"/>
    <w:rsid w:val="00BA058D"/>
    <w:rsid w:val="00BA060B"/>
    <w:rsid w:val="00BA1918"/>
    <w:rsid w:val="00BA1A75"/>
    <w:rsid w:val="00BA20E7"/>
    <w:rsid w:val="00BA21EE"/>
    <w:rsid w:val="00BA2819"/>
    <w:rsid w:val="00BA62DD"/>
    <w:rsid w:val="00BA72AC"/>
    <w:rsid w:val="00BA77A4"/>
    <w:rsid w:val="00BB04DB"/>
    <w:rsid w:val="00BB1AB6"/>
    <w:rsid w:val="00BB2332"/>
    <w:rsid w:val="00BB2819"/>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F20ED"/>
    <w:rsid w:val="00BF31F7"/>
    <w:rsid w:val="00BF33BF"/>
    <w:rsid w:val="00BF43BC"/>
    <w:rsid w:val="00BF4EFD"/>
    <w:rsid w:val="00BF5CB2"/>
    <w:rsid w:val="00BF6B0F"/>
    <w:rsid w:val="00BF77FA"/>
    <w:rsid w:val="00BF7887"/>
    <w:rsid w:val="00BF7E64"/>
    <w:rsid w:val="00C042D0"/>
    <w:rsid w:val="00C04B14"/>
    <w:rsid w:val="00C04E29"/>
    <w:rsid w:val="00C04E2E"/>
    <w:rsid w:val="00C04E57"/>
    <w:rsid w:val="00C051BA"/>
    <w:rsid w:val="00C052EE"/>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3386"/>
    <w:rsid w:val="00C33E26"/>
    <w:rsid w:val="00C33FBA"/>
    <w:rsid w:val="00C3495D"/>
    <w:rsid w:val="00C354A9"/>
    <w:rsid w:val="00C36030"/>
    <w:rsid w:val="00C36231"/>
    <w:rsid w:val="00C364DE"/>
    <w:rsid w:val="00C36ED2"/>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60064"/>
    <w:rsid w:val="00C608C8"/>
    <w:rsid w:val="00C60ECA"/>
    <w:rsid w:val="00C6208E"/>
    <w:rsid w:val="00C647C0"/>
    <w:rsid w:val="00C651F4"/>
    <w:rsid w:val="00C65410"/>
    <w:rsid w:val="00C6559B"/>
    <w:rsid w:val="00C65EC2"/>
    <w:rsid w:val="00C668F6"/>
    <w:rsid w:val="00C67F3E"/>
    <w:rsid w:val="00C67FE7"/>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E8E"/>
    <w:rsid w:val="00CB2C8B"/>
    <w:rsid w:val="00CB3376"/>
    <w:rsid w:val="00CB35B3"/>
    <w:rsid w:val="00CB3F06"/>
    <w:rsid w:val="00CB42F5"/>
    <w:rsid w:val="00CB4B05"/>
    <w:rsid w:val="00CB4BB9"/>
    <w:rsid w:val="00CB594F"/>
    <w:rsid w:val="00CB5BA1"/>
    <w:rsid w:val="00CB6164"/>
    <w:rsid w:val="00CB66CF"/>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2042B"/>
    <w:rsid w:val="00D2128D"/>
    <w:rsid w:val="00D2152E"/>
    <w:rsid w:val="00D219F0"/>
    <w:rsid w:val="00D22010"/>
    <w:rsid w:val="00D22767"/>
    <w:rsid w:val="00D22E3F"/>
    <w:rsid w:val="00D23516"/>
    <w:rsid w:val="00D23B47"/>
    <w:rsid w:val="00D23FC0"/>
    <w:rsid w:val="00D256D7"/>
    <w:rsid w:val="00D26E3E"/>
    <w:rsid w:val="00D27E35"/>
    <w:rsid w:val="00D30923"/>
    <w:rsid w:val="00D318F0"/>
    <w:rsid w:val="00D33466"/>
    <w:rsid w:val="00D34DC9"/>
    <w:rsid w:val="00D356EF"/>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89E"/>
    <w:rsid w:val="00D54CA6"/>
    <w:rsid w:val="00D55B1C"/>
    <w:rsid w:val="00D5648B"/>
    <w:rsid w:val="00D56A35"/>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714D"/>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D41"/>
    <w:rsid w:val="00D87EF4"/>
    <w:rsid w:val="00D906F0"/>
    <w:rsid w:val="00D91607"/>
    <w:rsid w:val="00D91D6B"/>
    <w:rsid w:val="00D92294"/>
    <w:rsid w:val="00D943CD"/>
    <w:rsid w:val="00D94D12"/>
    <w:rsid w:val="00D968C3"/>
    <w:rsid w:val="00DA0622"/>
    <w:rsid w:val="00DA155E"/>
    <w:rsid w:val="00DA1BF1"/>
    <w:rsid w:val="00DA1F38"/>
    <w:rsid w:val="00DA2D41"/>
    <w:rsid w:val="00DA3902"/>
    <w:rsid w:val="00DA3F96"/>
    <w:rsid w:val="00DA48CA"/>
    <w:rsid w:val="00DA660C"/>
    <w:rsid w:val="00DA6670"/>
    <w:rsid w:val="00DB33F6"/>
    <w:rsid w:val="00DB35B3"/>
    <w:rsid w:val="00DB3CD0"/>
    <w:rsid w:val="00DB4184"/>
    <w:rsid w:val="00DB55E5"/>
    <w:rsid w:val="00DB66AA"/>
    <w:rsid w:val="00DB6754"/>
    <w:rsid w:val="00DB6A73"/>
    <w:rsid w:val="00DB7C0A"/>
    <w:rsid w:val="00DC1A41"/>
    <w:rsid w:val="00DC2400"/>
    <w:rsid w:val="00DC27A2"/>
    <w:rsid w:val="00DC3311"/>
    <w:rsid w:val="00DC355B"/>
    <w:rsid w:val="00DC3E5D"/>
    <w:rsid w:val="00DC5B82"/>
    <w:rsid w:val="00DC600F"/>
    <w:rsid w:val="00DC702F"/>
    <w:rsid w:val="00DC7B79"/>
    <w:rsid w:val="00DD17A9"/>
    <w:rsid w:val="00DD1E6B"/>
    <w:rsid w:val="00DD333D"/>
    <w:rsid w:val="00DD3B00"/>
    <w:rsid w:val="00DD4168"/>
    <w:rsid w:val="00DD432D"/>
    <w:rsid w:val="00DD6133"/>
    <w:rsid w:val="00DD6987"/>
    <w:rsid w:val="00DE0F4F"/>
    <w:rsid w:val="00DE1715"/>
    <w:rsid w:val="00DE22DD"/>
    <w:rsid w:val="00DE2E9B"/>
    <w:rsid w:val="00DE301B"/>
    <w:rsid w:val="00DE4862"/>
    <w:rsid w:val="00DE4CB8"/>
    <w:rsid w:val="00DE4D45"/>
    <w:rsid w:val="00DE54BD"/>
    <w:rsid w:val="00DE55DC"/>
    <w:rsid w:val="00DE6265"/>
    <w:rsid w:val="00DE6858"/>
    <w:rsid w:val="00DF0F23"/>
    <w:rsid w:val="00DF1C8C"/>
    <w:rsid w:val="00DF2BEB"/>
    <w:rsid w:val="00DF34BE"/>
    <w:rsid w:val="00DF356A"/>
    <w:rsid w:val="00DF375C"/>
    <w:rsid w:val="00DF3826"/>
    <w:rsid w:val="00DF3AC4"/>
    <w:rsid w:val="00DF3E2C"/>
    <w:rsid w:val="00DF457A"/>
    <w:rsid w:val="00DF4E0E"/>
    <w:rsid w:val="00DF615E"/>
    <w:rsid w:val="00DF6F20"/>
    <w:rsid w:val="00DF7351"/>
    <w:rsid w:val="00DF76BE"/>
    <w:rsid w:val="00E00479"/>
    <w:rsid w:val="00E00C61"/>
    <w:rsid w:val="00E0123D"/>
    <w:rsid w:val="00E02C4B"/>
    <w:rsid w:val="00E03F1A"/>
    <w:rsid w:val="00E03FC7"/>
    <w:rsid w:val="00E045A3"/>
    <w:rsid w:val="00E0535D"/>
    <w:rsid w:val="00E05367"/>
    <w:rsid w:val="00E05D5B"/>
    <w:rsid w:val="00E07C6C"/>
    <w:rsid w:val="00E107F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D58"/>
    <w:rsid w:val="00E25E3B"/>
    <w:rsid w:val="00E26D6F"/>
    <w:rsid w:val="00E31F2E"/>
    <w:rsid w:val="00E34151"/>
    <w:rsid w:val="00E356D2"/>
    <w:rsid w:val="00E35D86"/>
    <w:rsid w:val="00E35E63"/>
    <w:rsid w:val="00E36ACF"/>
    <w:rsid w:val="00E36DEB"/>
    <w:rsid w:val="00E3708D"/>
    <w:rsid w:val="00E37B16"/>
    <w:rsid w:val="00E40816"/>
    <w:rsid w:val="00E418F5"/>
    <w:rsid w:val="00E41BCD"/>
    <w:rsid w:val="00E42137"/>
    <w:rsid w:val="00E42F94"/>
    <w:rsid w:val="00E44335"/>
    <w:rsid w:val="00E4450F"/>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50C2"/>
    <w:rsid w:val="00E75428"/>
    <w:rsid w:val="00E75AB5"/>
    <w:rsid w:val="00E75E75"/>
    <w:rsid w:val="00E777C7"/>
    <w:rsid w:val="00E77FE9"/>
    <w:rsid w:val="00E80C35"/>
    <w:rsid w:val="00E81754"/>
    <w:rsid w:val="00E8224A"/>
    <w:rsid w:val="00E83A0A"/>
    <w:rsid w:val="00E83B83"/>
    <w:rsid w:val="00E846EC"/>
    <w:rsid w:val="00E849B7"/>
    <w:rsid w:val="00E84AA8"/>
    <w:rsid w:val="00E84CBF"/>
    <w:rsid w:val="00E90126"/>
    <w:rsid w:val="00E90998"/>
    <w:rsid w:val="00E91801"/>
    <w:rsid w:val="00E924FE"/>
    <w:rsid w:val="00E92BE9"/>
    <w:rsid w:val="00E941A5"/>
    <w:rsid w:val="00E94215"/>
    <w:rsid w:val="00E94575"/>
    <w:rsid w:val="00E96DD4"/>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69E"/>
    <w:rsid w:val="00F00863"/>
    <w:rsid w:val="00F00FB0"/>
    <w:rsid w:val="00F00FD6"/>
    <w:rsid w:val="00F017B5"/>
    <w:rsid w:val="00F02F73"/>
    <w:rsid w:val="00F0304E"/>
    <w:rsid w:val="00F036D2"/>
    <w:rsid w:val="00F04AFD"/>
    <w:rsid w:val="00F04F80"/>
    <w:rsid w:val="00F072BE"/>
    <w:rsid w:val="00F110A1"/>
    <w:rsid w:val="00F154FC"/>
    <w:rsid w:val="00F1624A"/>
    <w:rsid w:val="00F171B6"/>
    <w:rsid w:val="00F172B7"/>
    <w:rsid w:val="00F2017B"/>
    <w:rsid w:val="00F22B9D"/>
    <w:rsid w:val="00F233AC"/>
    <w:rsid w:val="00F2347D"/>
    <w:rsid w:val="00F23511"/>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3038"/>
    <w:rsid w:val="00F4387D"/>
    <w:rsid w:val="00F43BEA"/>
    <w:rsid w:val="00F44549"/>
    <w:rsid w:val="00F448CC"/>
    <w:rsid w:val="00F46E9B"/>
    <w:rsid w:val="00F4712A"/>
    <w:rsid w:val="00F47188"/>
    <w:rsid w:val="00F53550"/>
    <w:rsid w:val="00F53ED4"/>
    <w:rsid w:val="00F53F99"/>
    <w:rsid w:val="00F543D3"/>
    <w:rsid w:val="00F54D09"/>
    <w:rsid w:val="00F5598F"/>
    <w:rsid w:val="00F56261"/>
    <w:rsid w:val="00F56C8B"/>
    <w:rsid w:val="00F57550"/>
    <w:rsid w:val="00F5792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3540"/>
    <w:rsid w:val="00F9355F"/>
    <w:rsid w:val="00F95F2F"/>
    <w:rsid w:val="00F962A1"/>
    <w:rsid w:val="00F96895"/>
    <w:rsid w:val="00F97454"/>
    <w:rsid w:val="00F97777"/>
    <w:rsid w:val="00FA1231"/>
    <w:rsid w:val="00FA1235"/>
    <w:rsid w:val="00FA1386"/>
    <w:rsid w:val="00FA1C08"/>
    <w:rsid w:val="00FA3054"/>
    <w:rsid w:val="00FA563D"/>
    <w:rsid w:val="00FA57CA"/>
    <w:rsid w:val="00FA5F84"/>
    <w:rsid w:val="00FA6BBE"/>
    <w:rsid w:val="00FA75CC"/>
    <w:rsid w:val="00FB23CB"/>
    <w:rsid w:val="00FB3728"/>
    <w:rsid w:val="00FB39C6"/>
    <w:rsid w:val="00FB4073"/>
    <w:rsid w:val="00FC0BD2"/>
    <w:rsid w:val="00FC1384"/>
    <w:rsid w:val="00FC1DEA"/>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CF1"/>
    <w:rsid w:val="00FE31F8"/>
    <w:rsid w:val="00FE3255"/>
    <w:rsid w:val="00FE34C1"/>
    <w:rsid w:val="00FE4CD4"/>
    <w:rsid w:val="00FE54E7"/>
    <w:rsid w:val="00FE5564"/>
    <w:rsid w:val="00FE574F"/>
    <w:rsid w:val="00FE5D5B"/>
    <w:rsid w:val="00FE6FDD"/>
    <w:rsid w:val="00FE7F7C"/>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5482-BE10-4708-AA4F-137426DD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3</Pages>
  <Words>1253</Words>
  <Characters>6894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129</cp:revision>
  <cp:lastPrinted>2014-09-24T10:26:00Z</cp:lastPrinted>
  <dcterms:created xsi:type="dcterms:W3CDTF">2014-04-30T08:18:00Z</dcterms:created>
  <dcterms:modified xsi:type="dcterms:W3CDTF">2014-09-25T08:12:00Z</dcterms:modified>
</cp:coreProperties>
</file>